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cs="Times New Roman"/>
          <w:kern w:val="2"/>
          <w:sz w:val="32"/>
          <w:szCs w:val="32"/>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spacing w:line="580" w:lineRule="exact"/>
        <w:jc w:val="center"/>
        <w:rPr>
          <w:rFonts w:hint="default" w:ascii="Times New Roman" w:hAnsi="Times New Roman" w:cs="Times New Roman"/>
          <w:kern w:val="2"/>
          <w:sz w:val="44"/>
          <w:szCs w:val="44"/>
          <w:lang w:val="zh-CN"/>
        </w:rPr>
      </w:pPr>
    </w:p>
    <w:p>
      <w:pPr>
        <w:jc w:val="center"/>
        <w:rPr>
          <w:rFonts w:hint="default" w:ascii="Times New Roman" w:hAnsi="Times New Roman" w:eastAsia="方正小标宋简体" w:cs="Times New Roman"/>
          <w:sz w:val="48"/>
          <w:szCs w:val="48"/>
          <w:lang w:val="zh-CN"/>
        </w:rPr>
      </w:pPr>
      <w:r>
        <w:rPr>
          <w:rFonts w:hint="default" w:ascii="Times New Roman" w:hAnsi="Times New Roman" w:eastAsia="方正小标宋简体" w:cs="Times New Roman"/>
          <w:sz w:val="48"/>
          <w:szCs w:val="48"/>
          <w:lang w:val="zh-CN"/>
        </w:rPr>
        <w:t>天津市滨海新区塘沽传染病医院2021年度部门决算</w:t>
      </w:r>
    </w:p>
    <w:p>
      <w:pPr>
        <w:spacing w:line="580" w:lineRule="exact"/>
        <w:jc w:val="center"/>
        <w:rPr>
          <w:rFonts w:hint="default" w:ascii="Times New Roman" w:hAnsi="Times New Roman" w:cs="Times New Roman"/>
          <w:kern w:val="2"/>
          <w:sz w:val="30"/>
          <w:szCs w:val="30"/>
        </w:rPr>
      </w:pPr>
    </w:p>
    <w:p>
      <w:pPr>
        <w:spacing w:line="580" w:lineRule="exact"/>
        <w:jc w:val="center"/>
        <w:rPr>
          <w:rFonts w:hint="default" w:ascii="Times New Roman" w:hAnsi="Times New Roman" w:cs="Times New Roman"/>
          <w:kern w:val="2"/>
          <w:sz w:val="30"/>
          <w:szCs w:val="30"/>
        </w:rPr>
      </w:pPr>
    </w:p>
    <w:p>
      <w:pPr>
        <w:spacing w:line="580" w:lineRule="exact"/>
        <w:jc w:val="center"/>
        <w:rPr>
          <w:rFonts w:hint="default" w:ascii="Times New Roman" w:hAnsi="Times New Roman" w:cs="Times New Roman"/>
          <w:kern w:val="2"/>
          <w:sz w:val="30"/>
          <w:szCs w:val="30"/>
        </w:rPr>
      </w:pPr>
    </w:p>
    <w:p>
      <w:pPr>
        <w:spacing w:line="580" w:lineRule="exact"/>
        <w:jc w:val="center"/>
        <w:rPr>
          <w:rFonts w:hint="default" w:ascii="Times New Roman" w:hAnsi="Times New Roman" w:cs="Times New Roman"/>
          <w:kern w:val="2"/>
          <w:sz w:val="30"/>
          <w:szCs w:val="30"/>
        </w:rPr>
      </w:pPr>
    </w:p>
    <w:p>
      <w:pPr>
        <w:spacing w:line="580" w:lineRule="exact"/>
        <w:jc w:val="center"/>
        <w:rPr>
          <w:rFonts w:hint="default" w:ascii="Times New Roman" w:hAnsi="Times New Roman" w:cs="Times New Roman"/>
          <w:kern w:val="2"/>
          <w:sz w:val="30"/>
          <w:szCs w:val="30"/>
        </w:rPr>
      </w:pPr>
    </w:p>
    <w:p>
      <w:pPr>
        <w:rPr>
          <w:rFonts w:hint="default" w:ascii="Times New Roman" w:hAnsi="Times New Roman" w:cs="Times New Roman"/>
          <w:kern w:val="2"/>
          <w:sz w:val="30"/>
          <w:szCs w:val="30"/>
        </w:rPr>
      </w:pPr>
      <w:r>
        <w:rPr>
          <w:rFonts w:hint="default" w:ascii="Times New Roman" w:hAnsi="Times New Roman" w:cs="Times New Roman"/>
          <w:kern w:val="2"/>
          <w:sz w:val="30"/>
          <w:szCs w:val="30"/>
        </w:rPr>
        <w:br w:type="page"/>
      </w:r>
    </w:p>
    <w:p>
      <w:pPr>
        <w:spacing w:line="600" w:lineRule="exact"/>
        <w:jc w:val="center"/>
        <w:rPr>
          <w:rFonts w:hint="default" w:ascii="Times New Roman" w:hAnsi="Times New Roman" w:cs="Times New Roman"/>
          <w:sz w:val="44"/>
          <w:szCs w:val="44"/>
          <w:lang w:val="zh-CN"/>
        </w:rPr>
      </w:pPr>
      <w:r>
        <w:rPr>
          <w:rFonts w:hint="default" w:ascii="Times New Roman" w:hAnsi="Times New Roman" w:cs="Times New Roman"/>
          <w:sz w:val="44"/>
          <w:szCs w:val="44"/>
          <w:lang w:val="zh-CN"/>
        </w:rPr>
        <w:t>目   录</w:t>
      </w:r>
    </w:p>
    <w:p>
      <w:pPr>
        <w:spacing w:line="600" w:lineRule="exact"/>
        <w:rPr>
          <w:rFonts w:hint="default" w:ascii="Times New Roman" w:hAnsi="Times New Roman" w:cs="Times New Roman"/>
          <w:sz w:val="30"/>
          <w:szCs w:val="30"/>
          <w:lang w:val="zh-CN"/>
        </w:rPr>
      </w:pPr>
    </w:p>
    <w:p>
      <w:pPr>
        <w:tabs>
          <w:tab w:val="right" w:leader="dot" w:pos="8306"/>
        </w:tabs>
        <w:spacing w:line="700" w:lineRule="exact"/>
        <w:rPr>
          <w:rFonts w:hint="default" w:ascii="Times New Roman" w:hAnsi="Times New Roman" w:eastAsia="方正小标宋简体" w:cs="Times New Roman"/>
          <w:sz w:val="30"/>
          <w:szCs w:val="30"/>
          <w:lang w:val="zh-CN"/>
        </w:rPr>
      </w:pPr>
      <w:r>
        <w:rPr>
          <w:rFonts w:hint="default" w:ascii="Times New Roman" w:hAnsi="Times New Roman" w:eastAsia="方正小标宋简体" w:cs="Times New Roman"/>
          <w:sz w:val="30"/>
          <w:szCs w:val="30"/>
          <w:lang w:val="zh-CN"/>
        </w:rPr>
        <w:t>第一部分  概 况</w:t>
      </w:r>
      <w:r>
        <w:rPr>
          <w:rFonts w:hint="default" w:ascii="Times New Roman" w:hAnsi="Times New Roman" w:eastAsia="方正小标宋简体" w:cs="Times New Roman"/>
          <w:sz w:val="30"/>
          <w:szCs w:val="30"/>
          <w:lang w:val="zh-CN"/>
        </w:rPr>
        <w:tab/>
      </w:r>
      <w:r>
        <w:rPr>
          <w:rFonts w:hint="default" w:ascii="Times New Roman" w:hAnsi="Times New Roman" w:eastAsia="方正小标宋简体" w:cs="Times New Roman"/>
          <w:sz w:val="30"/>
          <w:szCs w:val="30"/>
          <w:lang w:val="zh-CN"/>
        </w:rPr>
        <w:t>1</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一、主要职责</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1</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二、机构设置</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1</w:t>
      </w:r>
    </w:p>
    <w:p>
      <w:pPr>
        <w:tabs>
          <w:tab w:val="right" w:leader="dot" w:pos="8306"/>
        </w:tabs>
        <w:spacing w:line="700" w:lineRule="exact"/>
        <w:rPr>
          <w:rFonts w:hint="default" w:ascii="Times New Roman" w:hAnsi="Times New Roman" w:eastAsia="方正小标宋简体" w:cs="Times New Roman"/>
          <w:sz w:val="30"/>
          <w:szCs w:val="30"/>
          <w:lang w:val="zh-CN"/>
        </w:rPr>
      </w:pPr>
      <w:r>
        <w:rPr>
          <w:rFonts w:hint="default" w:ascii="Times New Roman" w:hAnsi="Times New Roman" w:eastAsia="方正小标宋简体" w:cs="Times New Roman"/>
          <w:sz w:val="30"/>
          <w:szCs w:val="30"/>
          <w:lang w:val="zh-CN"/>
        </w:rPr>
        <w:t>第二部分  202</w:t>
      </w:r>
      <w:r>
        <w:rPr>
          <w:rFonts w:hint="default" w:ascii="Times New Roman" w:hAnsi="Times New Roman" w:eastAsia="方正小标宋简体" w:cs="Times New Roman"/>
          <w:sz w:val="30"/>
          <w:szCs w:val="30"/>
        </w:rPr>
        <w:t>1</w:t>
      </w:r>
      <w:r>
        <w:rPr>
          <w:rFonts w:hint="default" w:ascii="Times New Roman" w:hAnsi="Times New Roman" w:eastAsia="方正小标宋简体" w:cs="Times New Roman"/>
          <w:sz w:val="30"/>
          <w:szCs w:val="30"/>
          <w:lang w:val="zh-CN"/>
        </w:rPr>
        <w:t>年度部门决算表</w:t>
      </w:r>
      <w:r>
        <w:rPr>
          <w:rFonts w:hint="default" w:ascii="Times New Roman" w:hAnsi="Times New Roman" w:eastAsia="方正小标宋简体" w:cs="Times New Roman"/>
          <w:sz w:val="30"/>
          <w:szCs w:val="30"/>
          <w:lang w:val="zh-CN"/>
        </w:rPr>
        <w:tab/>
      </w:r>
      <w:r>
        <w:rPr>
          <w:rFonts w:hint="default" w:ascii="Times New Roman" w:hAnsi="Times New Roman" w:eastAsia="方正小标宋简体"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一、收入支出决算总表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二、收入决算表（按功能分类列示）</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三、收入决算表（按单位列示）</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四、支出决算表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五、财政拨款收入支出决算总表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六、一般公共预算财政拨款支出决算表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七、一般公共预算财政拨款基本支出决算表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八、一般公共预算财政拨款“三公”经费支出决算表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九、政府性基金预算财政拨款收入支出决算表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十、国有资本经营预算财政拨款收入支出决算表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十一、项目支出决算表</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2</w:t>
      </w:r>
    </w:p>
    <w:p>
      <w:pPr>
        <w:tabs>
          <w:tab w:val="right" w:leader="dot" w:pos="8306"/>
        </w:tabs>
        <w:spacing w:line="700" w:lineRule="exact"/>
        <w:ind w:left="220"/>
        <w:rPr>
          <w:rFonts w:hint="eastAsia"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zh-CN"/>
        </w:rPr>
        <w:t>十二、关于空表的说明</w:t>
      </w:r>
      <w:r>
        <w:rPr>
          <w:rFonts w:hint="default"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3</w:t>
      </w:r>
    </w:p>
    <w:p>
      <w:pPr>
        <w:tabs>
          <w:tab w:val="right" w:leader="dot" w:pos="8306"/>
        </w:tabs>
        <w:spacing w:line="700" w:lineRule="exact"/>
        <w:rPr>
          <w:rFonts w:hint="default" w:ascii="Times New Roman" w:hAnsi="Times New Roman" w:eastAsia="方正小标宋简体" w:cs="Times New Roman"/>
          <w:sz w:val="30"/>
          <w:szCs w:val="30"/>
          <w:lang w:val="zh-CN"/>
        </w:rPr>
      </w:pPr>
      <w:r>
        <w:rPr>
          <w:rFonts w:hint="default" w:ascii="Times New Roman" w:hAnsi="Times New Roman" w:eastAsia="方正小标宋简体" w:cs="Times New Roman"/>
          <w:sz w:val="30"/>
          <w:szCs w:val="30"/>
          <w:lang w:val="zh-CN"/>
        </w:rPr>
        <w:t>第三部分  202</w:t>
      </w:r>
      <w:r>
        <w:rPr>
          <w:rFonts w:hint="default" w:ascii="Times New Roman" w:hAnsi="Times New Roman" w:eastAsia="方正小标宋简体" w:cs="Times New Roman"/>
          <w:sz w:val="30"/>
          <w:szCs w:val="30"/>
        </w:rPr>
        <w:t>1</w:t>
      </w:r>
      <w:r>
        <w:rPr>
          <w:rFonts w:hint="default" w:ascii="Times New Roman" w:hAnsi="Times New Roman" w:eastAsia="方正小标宋简体" w:cs="Times New Roman"/>
          <w:sz w:val="30"/>
          <w:szCs w:val="30"/>
          <w:lang w:val="zh-CN"/>
        </w:rPr>
        <w:t>年度部门决算情况说明</w:t>
      </w:r>
      <w:r>
        <w:rPr>
          <w:rFonts w:hint="default" w:ascii="Times New Roman" w:hAnsi="Times New Roman" w:eastAsia="方正小标宋简体" w:cs="Times New Roman"/>
          <w:sz w:val="30"/>
          <w:szCs w:val="30"/>
          <w:lang w:val="zh-CN"/>
        </w:rPr>
        <w:tab/>
      </w:r>
      <w:r>
        <w:rPr>
          <w:rFonts w:hint="default" w:ascii="Times New Roman" w:hAnsi="Times New Roman" w:eastAsia="方正小标宋简体" w:cs="Times New Roman"/>
          <w:sz w:val="30"/>
          <w:szCs w:val="30"/>
          <w:lang w:val="zh-CN"/>
        </w:rPr>
        <w:t>4</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一、收支决算总体情况说明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4</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二、收入决算情况说明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4</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三、支出决算情况说明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4</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四、财政拨款收支决算总体情况说明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5</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五、一般公共预算财政拨款支出决算情况说明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5</w:t>
      </w:r>
    </w:p>
    <w:p>
      <w:pPr>
        <w:tabs>
          <w:tab w:val="right" w:leader="dot" w:pos="8306"/>
        </w:tabs>
        <w:spacing w:line="700" w:lineRule="exact"/>
        <w:ind w:left="220"/>
        <w:rPr>
          <w:rFonts w:hint="eastAsia"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zh-CN"/>
        </w:rPr>
        <w:t>六、一般公共预算财政拨款基本支出决算情况说明</w:t>
      </w:r>
      <w:r>
        <w:rPr>
          <w:rFonts w:hint="default"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七、一般公共预算财政拨款“三公”经费支出决算情况说明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7</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八、政府性基金预算财政拨款收支决算情况说明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8</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九、国有资本经营预算财政拨款收支决算情况说明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8</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十、机关运行经费支出情况说明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8</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十一、政府采购支出情况说明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8</w:t>
      </w:r>
    </w:p>
    <w:p>
      <w:pPr>
        <w:tabs>
          <w:tab w:val="right" w:leader="dot" w:pos="8306"/>
        </w:tabs>
        <w:spacing w:line="700" w:lineRule="exact"/>
        <w:ind w:left="220"/>
        <w:rPr>
          <w:rFonts w:hint="eastAsia"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zh-CN"/>
        </w:rPr>
        <w:t>十二、国有资产占有使用情况说明</w:t>
      </w:r>
      <w:r>
        <w:rPr>
          <w:rFonts w:hint="default"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8</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十三、预算绩效情况说明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9</w:t>
      </w:r>
    </w:p>
    <w:p>
      <w:pPr>
        <w:tabs>
          <w:tab w:val="right" w:leader="dot" w:pos="8306"/>
        </w:tabs>
        <w:spacing w:line="700" w:lineRule="exact"/>
        <w:ind w:left="22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十四、教育、医疗卫生、社会保障和就业、住房保障、涉农补贴等民生支出情况说明</w:t>
      </w:r>
      <w:r>
        <w:rPr>
          <w:rFonts w:hint="default" w:ascii="Times New Roman" w:hAnsi="Times New Roman" w:eastAsia="仿宋_GB2312" w:cs="Times New Roman"/>
          <w:sz w:val="30"/>
          <w:szCs w:val="30"/>
          <w:lang w:val="zh-CN"/>
        </w:rPr>
        <w:tab/>
      </w:r>
      <w:r>
        <w:rPr>
          <w:rFonts w:hint="default" w:ascii="Times New Roman" w:hAnsi="Times New Roman" w:eastAsia="仿宋_GB2312" w:cs="Times New Roman"/>
          <w:sz w:val="30"/>
          <w:szCs w:val="30"/>
          <w:lang w:val="zh-CN"/>
        </w:rPr>
        <w:t>9</w:t>
      </w:r>
    </w:p>
    <w:p>
      <w:pPr>
        <w:tabs>
          <w:tab w:val="right" w:leader="dot" w:pos="8306"/>
        </w:tabs>
        <w:spacing w:line="700" w:lineRule="exact"/>
        <w:rPr>
          <w:rFonts w:hint="default" w:ascii="Times New Roman" w:hAnsi="Times New Roman" w:eastAsia="方正小标宋简体" w:cs="Times New Roman"/>
          <w:sz w:val="30"/>
          <w:szCs w:val="30"/>
          <w:lang w:val="zh-CN"/>
        </w:rPr>
      </w:pPr>
      <w:r>
        <w:rPr>
          <w:rFonts w:hint="default" w:ascii="Times New Roman" w:hAnsi="Times New Roman" w:eastAsia="方正小标宋简体" w:cs="Times New Roman"/>
          <w:sz w:val="30"/>
          <w:szCs w:val="30"/>
          <w:lang w:val="zh-CN"/>
        </w:rPr>
        <w:t>第四部分  名词解释</w:t>
      </w:r>
      <w:r>
        <w:rPr>
          <w:rFonts w:hint="default" w:ascii="Times New Roman" w:hAnsi="Times New Roman" w:eastAsia="方正小标宋简体" w:cs="Times New Roman"/>
          <w:sz w:val="30"/>
          <w:szCs w:val="30"/>
          <w:lang w:val="zh-CN"/>
        </w:rPr>
        <w:tab/>
      </w:r>
      <w:r>
        <w:rPr>
          <w:rFonts w:hint="default" w:ascii="Times New Roman" w:hAnsi="Times New Roman" w:eastAsia="方正小标宋简体" w:cs="Times New Roman"/>
          <w:sz w:val="30"/>
          <w:szCs w:val="30"/>
          <w:lang w:val="zh-CN"/>
        </w:rPr>
        <w:t>10</w:t>
      </w:r>
    </w:p>
    <w:p>
      <w:pPr>
        <w:pStyle w:val="2"/>
        <w:keepNext/>
        <w:keepLines/>
        <w:spacing w:line="600" w:lineRule="exact"/>
        <w:jc w:val="center"/>
        <w:rPr>
          <w:rFonts w:hint="default" w:ascii="Times New Roman" w:hAnsi="Times New Roman" w:eastAsia="方正小标宋简体" w:cs="Times New Roman"/>
          <w:b/>
          <w:bCs/>
          <w:kern w:val="44"/>
          <w:sz w:val="44"/>
          <w:szCs w:val="44"/>
        </w:rPr>
        <w:sectPr>
          <w:pgSz w:w="12240" w:h="15840"/>
          <w:pgMar w:top="1440" w:right="1800" w:bottom="1440" w:left="1800" w:header="720" w:footer="720" w:gutter="0"/>
          <w:cols w:space="720" w:num="1"/>
        </w:sectPr>
      </w:pPr>
    </w:p>
    <w:p>
      <w:pPr>
        <w:pStyle w:val="2"/>
        <w:keepNext/>
        <w:keepLines/>
        <w:spacing w:line="600" w:lineRule="exact"/>
        <w:jc w:val="center"/>
        <w:rPr>
          <w:rFonts w:hint="default" w:ascii="Times New Roman" w:hAnsi="Times New Roman" w:eastAsia="方正小标宋简体" w:cs="Times New Roman"/>
          <w:b/>
          <w:bCs/>
          <w:kern w:val="44"/>
          <w:sz w:val="44"/>
          <w:szCs w:val="44"/>
        </w:rPr>
      </w:pPr>
      <w:r>
        <w:rPr>
          <w:rFonts w:hint="default" w:ascii="Times New Roman" w:hAnsi="Times New Roman" w:eastAsia="方正小标宋简体" w:cs="Times New Roman"/>
          <w:b/>
          <w:bCs/>
          <w:kern w:val="44"/>
          <w:sz w:val="44"/>
          <w:szCs w:val="44"/>
        </w:rPr>
        <w:t>第一部分  概 况</w:t>
      </w:r>
    </w:p>
    <w:p>
      <w:pPr>
        <w:spacing w:line="580" w:lineRule="exact"/>
        <w:rPr>
          <w:rFonts w:hint="default" w:ascii="Times New Roman" w:hAnsi="Times New Roman" w:eastAsia="方正小标宋简体" w:cs="Times New Roman"/>
          <w:kern w:val="2"/>
          <w:lang w:val="zh-CN"/>
        </w:rPr>
      </w:pPr>
    </w:p>
    <w:p>
      <w:pPr>
        <w:pStyle w:val="3"/>
        <w:keepNext/>
        <w:keepLines/>
        <w:spacing w:line="600" w:lineRule="exact"/>
        <w:ind w:firstLine="601"/>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一、主要职责</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天津市滨海新区塘沽传染病医院（以下简称医院）系于1973年1月经天津市滨海新区卫生健康委员会批准成立的行政事业单位。医院的宗旨和业务范围：为控制（艾滋病/结核病/肝炎等）提供防治保障；（艾滋病/结核病/肝炎）等监测防治与咨询；相关疾病研究与技术指导；相关产业技术人员培训与健康教育。单位地址：天津市滨海新区塘沽胡家园三爱里109号；法人代表：尹林峰；经费来源：财政补助。</w:t>
      </w:r>
    </w:p>
    <w:p>
      <w:pPr>
        <w:pStyle w:val="3"/>
        <w:keepNext/>
        <w:keepLines/>
        <w:spacing w:line="600" w:lineRule="exact"/>
        <w:ind w:firstLine="602"/>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二、机构设置</w:t>
      </w:r>
    </w:p>
    <w:p>
      <w:pPr>
        <w:spacing w:line="580" w:lineRule="exact"/>
        <w:ind w:firstLine="600"/>
        <w:jc w:val="both"/>
        <w:rPr>
          <w:rFonts w:hint="default" w:ascii="Times New Roman" w:hAnsi="Times New Roman" w:eastAsia="仿宋_GB2312" w:cs="Times New Roman"/>
          <w:kern w:val="2"/>
          <w:sz w:val="30"/>
          <w:szCs w:val="30"/>
          <w:lang w:val="zh-CN"/>
        </w:rPr>
      </w:pPr>
      <w:r>
        <w:rPr>
          <w:rFonts w:hint="default" w:ascii="Times New Roman" w:hAnsi="Times New Roman" w:eastAsia="仿宋_GB2312" w:cs="Times New Roman"/>
          <w:kern w:val="2"/>
          <w:sz w:val="30"/>
          <w:szCs w:val="30"/>
          <w:lang w:val="zh-CN"/>
        </w:rPr>
        <w:t>天津市滨海新区塘沽传染病医院内设10个职能</w:t>
      </w:r>
      <w:r>
        <w:rPr>
          <w:rFonts w:hint="eastAsia" w:ascii="Times New Roman" w:hAnsi="Times New Roman" w:eastAsia="仿宋_GB2312" w:cs="Times New Roman"/>
          <w:kern w:val="2"/>
          <w:sz w:val="30"/>
          <w:szCs w:val="30"/>
          <w:lang w:val="zh-CN"/>
        </w:rPr>
        <w:t>科</w:t>
      </w:r>
      <w:r>
        <w:rPr>
          <w:rFonts w:hint="default" w:ascii="Times New Roman" w:hAnsi="Times New Roman" w:eastAsia="仿宋_GB2312" w:cs="Times New Roman"/>
          <w:kern w:val="2"/>
          <w:sz w:val="30"/>
          <w:szCs w:val="30"/>
          <w:lang w:val="zh-CN"/>
        </w:rPr>
        <w:t>室，无下辖预算单位。</w:t>
      </w:r>
      <w:r>
        <w:rPr>
          <w:rFonts w:hint="default" w:ascii="Times New Roman" w:hAnsi="Times New Roman" w:eastAsia="仿宋_GB2312" w:cs="Times New Roman"/>
          <w:sz w:val="30"/>
          <w:szCs w:val="30"/>
        </w:rPr>
        <w:t>纳入</w:t>
      </w:r>
      <w:r>
        <w:rPr>
          <w:rFonts w:hint="default" w:ascii="Times New Roman" w:hAnsi="Times New Roman" w:eastAsia="仿宋_GB2312" w:cs="Times New Roman"/>
          <w:kern w:val="2"/>
          <w:sz w:val="30"/>
          <w:szCs w:val="30"/>
          <w:lang w:val="zh-CN"/>
        </w:rPr>
        <w:t>天津市滨海新区塘沽传染病医院</w:t>
      </w:r>
      <w:r>
        <w:rPr>
          <w:rFonts w:hint="default" w:ascii="Times New Roman" w:hAnsi="Times New Roman" w:eastAsia="仿宋_GB2312" w:cs="Times New Roman"/>
          <w:sz w:val="30"/>
          <w:szCs w:val="30"/>
        </w:rPr>
        <w:t>2021年部门决算编制范围的单位包括</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天津市滨海新区塘沽传染病医院。</w:t>
      </w:r>
    </w:p>
    <w:p>
      <w:pPr>
        <w:spacing w:line="580" w:lineRule="exact"/>
        <w:ind w:firstLine="600"/>
        <w:rPr>
          <w:rFonts w:hint="default" w:ascii="Times New Roman" w:hAnsi="Times New Roman" w:eastAsia="仿宋_GB2312" w:cs="Times New Roman"/>
          <w:kern w:val="2"/>
          <w:sz w:val="30"/>
          <w:szCs w:val="30"/>
          <w:lang w:val="zh-CN"/>
        </w:rPr>
      </w:pPr>
    </w:p>
    <w:p>
      <w:pPr>
        <w:pStyle w:val="2"/>
        <w:keepNext/>
        <w:keepLines/>
        <w:spacing w:before="340" w:after="330" w:line="600" w:lineRule="exact"/>
        <w:jc w:val="both"/>
        <w:rPr>
          <w:rFonts w:hint="default" w:ascii="Times New Roman" w:hAnsi="Times New Roman" w:cs="Times New Roman"/>
          <w:kern w:val="2"/>
          <w:sz w:val="30"/>
          <w:szCs w:val="30"/>
        </w:rPr>
      </w:pPr>
    </w:p>
    <w:p>
      <w:pPr>
        <w:spacing w:line="360" w:lineRule="atLeast"/>
        <w:jc w:val="center"/>
        <w:rPr>
          <w:rFonts w:hint="default" w:ascii="Times New Roman" w:hAnsi="Times New Roman" w:cs="Times New Roman"/>
          <w:kern w:val="2"/>
          <w:sz w:val="30"/>
          <w:szCs w:val="30"/>
          <w:lang w:val="zh-CN"/>
        </w:rPr>
      </w:pPr>
    </w:p>
    <w:p>
      <w:pPr>
        <w:spacing w:line="360" w:lineRule="atLeast"/>
        <w:jc w:val="center"/>
        <w:rPr>
          <w:rFonts w:hint="default" w:ascii="Times New Roman" w:hAnsi="Times New Roman" w:cs="Times New Roman"/>
          <w:kern w:val="2"/>
          <w:sz w:val="30"/>
          <w:szCs w:val="30"/>
          <w:lang w:val="zh-CN"/>
        </w:rPr>
      </w:pPr>
    </w:p>
    <w:p>
      <w:pPr>
        <w:spacing w:line="360" w:lineRule="atLeast"/>
        <w:jc w:val="center"/>
        <w:rPr>
          <w:rFonts w:hint="default" w:ascii="Times New Roman" w:hAnsi="Times New Roman" w:cs="Times New Roman"/>
          <w:kern w:val="2"/>
          <w:sz w:val="30"/>
          <w:szCs w:val="30"/>
          <w:lang w:val="zh-CN"/>
        </w:rPr>
      </w:pPr>
    </w:p>
    <w:p>
      <w:pPr>
        <w:spacing w:line="360" w:lineRule="atLeast"/>
        <w:jc w:val="center"/>
        <w:rPr>
          <w:rFonts w:hint="default" w:ascii="Times New Roman" w:hAnsi="Times New Roman" w:cs="Times New Roman"/>
          <w:kern w:val="2"/>
          <w:sz w:val="30"/>
          <w:szCs w:val="30"/>
          <w:lang w:val="zh-CN"/>
        </w:rPr>
      </w:pPr>
    </w:p>
    <w:p>
      <w:pPr>
        <w:spacing w:line="360" w:lineRule="atLeast"/>
        <w:jc w:val="center"/>
        <w:rPr>
          <w:rFonts w:hint="default" w:ascii="Times New Roman" w:hAnsi="Times New Roman" w:cs="Times New Roman"/>
          <w:kern w:val="2"/>
          <w:sz w:val="30"/>
          <w:szCs w:val="30"/>
          <w:lang w:val="zh-CN"/>
        </w:rPr>
      </w:pPr>
    </w:p>
    <w:p>
      <w:pPr>
        <w:pStyle w:val="2"/>
        <w:keepNext/>
        <w:keepLines/>
        <w:spacing w:line="600" w:lineRule="exact"/>
        <w:jc w:val="center"/>
        <w:rPr>
          <w:rFonts w:hint="default" w:ascii="Times New Roman" w:hAnsi="Times New Roman" w:eastAsia="方正小标宋简体" w:cs="Times New Roman"/>
          <w:b/>
          <w:bCs/>
          <w:kern w:val="44"/>
          <w:sz w:val="44"/>
          <w:szCs w:val="44"/>
          <w:lang w:val="zh-CN"/>
        </w:rPr>
      </w:pPr>
    </w:p>
    <w:p>
      <w:pPr>
        <w:pStyle w:val="2"/>
        <w:keepNext/>
        <w:keepLines/>
        <w:spacing w:line="600" w:lineRule="exact"/>
        <w:jc w:val="center"/>
        <w:rPr>
          <w:rFonts w:hint="default" w:ascii="Times New Roman" w:hAnsi="Times New Roman" w:eastAsia="方正小标宋简体" w:cs="Times New Roman"/>
          <w:b/>
          <w:bCs/>
          <w:kern w:val="44"/>
          <w:sz w:val="44"/>
          <w:szCs w:val="44"/>
        </w:rPr>
      </w:pPr>
      <w:r>
        <w:rPr>
          <w:rFonts w:hint="default" w:ascii="Times New Roman" w:hAnsi="Times New Roman" w:eastAsia="方正小标宋简体" w:cs="Times New Roman"/>
          <w:b/>
          <w:bCs/>
          <w:kern w:val="44"/>
          <w:sz w:val="44"/>
          <w:szCs w:val="44"/>
          <w:lang w:val="zh-CN"/>
        </w:rPr>
        <w:t xml:space="preserve">第二部分 </w:t>
      </w:r>
      <w:r>
        <w:rPr>
          <w:rFonts w:hint="default" w:ascii="Times New Roman" w:hAnsi="Times New Roman" w:eastAsia="方正小标宋简体" w:cs="Times New Roman"/>
          <w:b/>
          <w:bCs/>
          <w:kern w:val="44"/>
          <w:sz w:val="44"/>
          <w:szCs w:val="44"/>
        </w:rPr>
        <w:t xml:space="preserve"> 2021年度部门决算表</w:t>
      </w:r>
    </w:p>
    <w:p>
      <w:pPr>
        <w:rPr>
          <w:rFonts w:hint="default" w:ascii="Times New Roman" w:hAnsi="Times New Roman" w:eastAsia="方正小标宋简体" w:cs="Times New Roman"/>
        </w:rPr>
      </w:pP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一、《收入支出决算总表》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二、《收入决算表（按功能分类列示）》</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三、《收入决算表（按单位列示）》</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四、《支出决算表》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五、《财政拨款收入支出决算总表》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六、《一般公共预算财政拨款支出决算表》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七、《一般公共预算财政拨款基本支出决算表》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八、《一般公共预算财政拨款“三公”经费支出决算表》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九、《政府性基金预算财政拨款收入支出决算表》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十、《国有资本经营预算财政拨款收入支出决算表》</w:t>
      </w:r>
    </w:p>
    <w:p>
      <w:pPr>
        <w:pStyle w:val="3"/>
        <w:keepNext/>
        <w:keepLines/>
        <w:spacing w:line="80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十一、《项目支出决算表》</w:t>
      </w:r>
    </w:p>
    <w:p>
      <w:pPr>
        <w:spacing w:line="800" w:lineRule="exac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注：以上决算公开表均作为附表，附于决算公开说明文档后。</w:t>
      </w:r>
    </w:p>
    <w:p>
      <w:pPr>
        <w:spacing w:line="800" w:lineRule="exact"/>
        <w:rPr>
          <w:rFonts w:hint="default" w:ascii="Times New Roman" w:hAnsi="Times New Roman" w:eastAsia="楷体" w:cs="Times New Roman"/>
          <w:sz w:val="30"/>
          <w:szCs w:val="30"/>
        </w:rPr>
      </w:pPr>
    </w:p>
    <w:p>
      <w:pPr>
        <w:pStyle w:val="3"/>
        <w:keepNext/>
        <w:keepLines/>
        <w:spacing w:line="640" w:lineRule="exact"/>
        <w:ind w:firstLine="600"/>
        <w:rPr>
          <w:rFonts w:hint="default" w:ascii="Times New Roman" w:hAnsi="Times New Roman" w:cs="Times New Roman"/>
          <w:sz w:val="30"/>
          <w:szCs w:val="30"/>
        </w:rPr>
      </w:pPr>
      <w:r>
        <w:rPr>
          <w:rFonts w:hint="default" w:ascii="Times New Roman" w:hAnsi="Times New Roman" w:cs="Times New Roman"/>
          <w:sz w:val="30"/>
          <w:szCs w:val="30"/>
        </w:rPr>
        <w:t>十二、关于空表的说明</w:t>
      </w:r>
    </w:p>
    <w:p>
      <w:pPr>
        <w:spacing w:line="64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1.天津市滨海新区塘沽传染病医院2021年度一般公共预算财政拨款“三公”经费支出决算表为空表。</w:t>
      </w:r>
    </w:p>
    <w:p>
      <w:pPr>
        <w:spacing w:line="64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2.天津市滨海新区塘沽传染病医院2021年度政府性基金预算财政拨款收入支出决算表为空表。</w:t>
      </w:r>
    </w:p>
    <w:p>
      <w:pPr>
        <w:spacing w:line="64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3.天津市滨海新区塘沽传染病医院2021年度国有资本经营预算财政拨款收入支出决算表为空表。</w:t>
      </w:r>
    </w:p>
    <w:p>
      <w:pPr>
        <w:pStyle w:val="2"/>
        <w:keepNext/>
        <w:keepLines/>
        <w:spacing w:line="600" w:lineRule="exact"/>
        <w:jc w:val="center"/>
        <w:rPr>
          <w:rFonts w:hint="default" w:ascii="Times New Roman" w:hAnsi="Times New Roman" w:eastAsia="方正小标宋简体" w:cs="Times New Roman"/>
          <w:b/>
          <w:bCs/>
          <w:kern w:val="44"/>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keepNext/>
        <w:keepLines/>
        <w:spacing w:line="600" w:lineRule="exact"/>
        <w:jc w:val="center"/>
        <w:rPr>
          <w:rFonts w:hint="default" w:ascii="Times New Roman" w:hAnsi="Times New Roman" w:eastAsia="方正小标宋简体" w:cs="Times New Roman"/>
          <w:b/>
          <w:bCs/>
          <w:kern w:val="44"/>
          <w:sz w:val="44"/>
          <w:szCs w:val="44"/>
        </w:rPr>
      </w:pPr>
      <w:r>
        <w:rPr>
          <w:rFonts w:hint="default" w:ascii="Times New Roman" w:hAnsi="Times New Roman" w:eastAsia="方正小标宋简体" w:cs="Times New Roman"/>
          <w:b/>
          <w:bCs/>
          <w:kern w:val="44"/>
          <w:sz w:val="44"/>
          <w:szCs w:val="44"/>
        </w:rPr>
        <w:t>第三部分  2021年度部门决算情况说明</w:t>
      </w:r>
    </w:p>
    <w:p>
      <w:pPr>
        <w:spacing w:line="580" w:lineRule="exact"/>
        <w:ind w:firstLine="600"/>
        <w:rPr>
          <w:rFonts w:hint="default" w:ascii="Times New Roman" w:hAnsi="Times New Roman" w:cs="Times New Roman"/>
          <w:kern w:val="2"/>
          <w:sz w:val="30"/>
          <w:szCs w:val="30"/>
          <w:lang w:val="zh-CN"/>
        </w:rPr>
      </w:pPr>
    </w:p>
    <w:p>
      <w:pPr>
        <w:pStyle w:val="3"/>
        <w:keepNext/>
        <w:keepLines/>
        <w:spacing w:line="600" w:lineRule="exact"/>
        <w:ind w:firstLine="602"/>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一、收入支出决算总体情况说明</w:t>
      </w:r>
    </w:p>
    <w:p>
      <w:pPr>
        <w:spacing w:line="580" w:lineRule="exact"/>
        <w:ind w:firstLine="602"/>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天津市滨海新区塘沽传染病医院2021年度收入、支出决算总计70,504,092.76元，与2020年度相比，收、支</w:t>
      </w:r>
      <w:r>
        <w:rPr>
          <w:rFonts w:hint="default" w:ascii="Times New Roman" w:hAnsi="Times New Roman" w:eastAsia="仿宋_GB2312" w:cs="Times New Roman"/>
          <w:sz w:val="30"/>
          <w:szCs w:val="30"/>
        </w:rPr>
        <w:t>总计各</w:t>
      </w:r>
      <w:r>
        <w:rPr>
          <w:rFonts w:hint="default" w:ascii="Times New Roman" w:hAnsi="Times New Roman" w:eastAsia="仿宋_GB2312" w:cs="Times New Roman"/>
          <w:kern w:val="2"/>
          <w:sz w:val="30"/>
          <w:szCs w:val="30"/>
        </w:rPr>
        <w:t>增加27,399,563.43</w:t>
      </w:r>
      <w:r>
        <w:rPr>
          <w:rFonts w:hint="default" w:ascii="Times New Roman" w:hAnsi="Times New Roman" w:eastAsia="仿宋_GB2312" w:cs="Times New Roman"/>
          <w:sz w:val="30"/>
          <w:szCs w:val="30"/>
        </w:rPr>
        <w:t>元</w:t>
      </w:r>
      <w:r>
        <w:rPr>
          <w:rFonts w:hint="default" w:ascii="Times New Roman" w:hAnsi="Times New Roman" w:eastAsia="仿宋_GB2312" w:cs="Times New Roman"/>
          <w:kern w:val="2"/>
          <w:sz w:val="30"/>
          <w:szCs w:val="30"/>
        </w:rPr>
        <w:t>，增长63.57%，</w:t>
      </w:r>
      <w:r>
        <w:rPr>
          <w:rFonts w:hint="default" w:ascii="Times New Roman" w:hAnsi="Times New Roman" w:eastAsia="仿宋_GB2312" w:cs="Times New Roman"/>
          <w:sz w:val="30"/>
          <w:szCs w:val="30"/>
          <w:lang w:val="zh-CN"/>
        </w:rPr>
        <w:t>主要原因是：2021年天津市滨海新区塘沽传染病医院与天津市滨海新区塘沽结核病防治所单位合并,造成当年收支增加。</w:t>
      </w:r>
    </w:p>
    <w:p>
      <w:pPr>
        <w:pStyle w:val="3"/>
        <w:keepNext/>
        <w:keepLines/>
        <w:spacing w:line="600" w:lineRule="exact"/>
        <w:ind w:firstLine="602"/>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二、</w:t>
      </w:r>
      <w:r>
        <w:rPr>
          <w:rFonts w:hint="default" w:ascii="Times New Roman" w:hAnsi="Times New Roman" w:cs="Times New Roman"/>
          <w:b/>
          <w:bCs/>
          <w:sz w:val="30"/>
          <w:szCs w:val="30"/>
        </w:rPr>
        <w:t>收入决算情况</w:t>
      </w:r>
      <w:r>
        <w:rPr>
          <w:rFonts w:hint="default" w:ascii="Times New Roman" w:hAnsi="Times New Roman" w:cs="Times New Roman"/>
          <w:b/>
          <w:bCs/>
          <w:sz w:val="30"/>
          <w:szCs w:val="30"/>
          <w:lang w:val="zh-CN"/>
        </w:rPr>
        <w:t>说明</w:t>
      </w:r>
    </w:p>
    <w:p>
      <w:pPr>
        <w:spacing w:line="600" w:lineRule="exact"/>
        <w:ind w:firstLine="600"/>
        <w:jc w:val="both"/>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zh-CN"/>
        </w:rPr>
        <w:t>天津市滨海新区塘沽传染病医院2021年度本年收入合计70,300,037.36</w:t>
      </w:r>
      <w:r>
        <w:rPr>
          <w:rFonts w:hint="default" w:ascii="Times New Roman" w:hAnsi="Times New Roman" w:eastAsia="仿宋_GB2312" w:cs="Times New Roman"/>
          <w:kern w:val="2"/>
          <w:sz w:val="30"/>
          <w:szCs w:val="30"/>
        </w:rPr>
        <w:t>元，与2020年度相比增加27,200,708.03元，</w:t>
      </w:r>
      <w:r>
        <w:rPr>
          <w:rFonts w:hint="default" w:ascii="Times New Roman" w:hAnsi="Times New Roman" w:eastAsia="仿宋_GB2312" w:cs="Times New Roman"/>
          <w:sz w:val="30"/>
          <w:szCs w:val="30"/>
          <w:lang w:val="zh-CN"/>
        </w:rPr>
        <w:t>主要原因是：2021年天津市滨海新区塘沽传染病医院与天津市滨海新区塘沽结核病防治所单位合并,造成当年收支增加</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rPr>
        <w:t>其中：</w:t>
      </w:r>
      <w:r>
        <w:rPr>
          <w:rFonts w:hint="default" w:ascii="Times New Roman" w:hAnsi="Times New Roman" w:eastAsia="仿宋_GB2312" w:cs="Times New Roman"/>
          <w:kern w:val="2"/>
          <w:sz w:val="30"/>
          <w:szCs w:val="30"/>
          <w:lang w:val="zh-CN"/>
        </w:rPr>
        <w:t>一般公共预算财政拨款收入32,487,225.04元，占46.21%；事业收入37,470,501.12元，占53.30%；其他收入342,311.20元，占0.49%</w:t>
      </w:r>
      <w:r>
        <w:rPr>
          <w:rFonts w:hint="default" w:ascii="Times New Roman" w:hAnsi="Times New Roman" w:eastAsia="仿宋_GB2312" w:cs="Times New Roman"/>
          <w:kern w:val="2"/>
          <w:sz w:val="30"/>
          <w:szCs w:val="30"/>
          <w:lang w:val="zh-CN" w:eastAsia="zh-CN"/>
        </w:rPr>
        <w:t>。</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lang w:val="zh-CN"/>
        </w:rPr>
        <w:t>三、支出</w:t>
      </w:r>
      <w:r>
        <w:rPr>
          <w:rFonts w:hint="default" w:ascii="Times New Roman" w:hAnsi="Times New Roman" w:cs="Times New Roman"/>
          <w:b/>
          <w:bCs/>
          <w:sz w:val="30"/>
          <w:szCs w:val="30"/>
        </w:rPr>
        <w:t>决算情况说明</w:t>
      </w:r>
    </w:p>
    <w:p>
      <w:pPr>
        <w:spacing w:line="580" w:lineRule="exact"/>
        <w:ind w:firstLine="60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天津市滨海新区塘沽传染病医院2021年度本年支出合计69,489,982.04元，与2020年度相比增加27,215,978.62元，</w:t>
      </w:r>
      <w:r>
        <w:rPr>
          <w:rFonts w:hint="default" w:ascii="Times New Roman" w:hAnsi="Times New Roman" w:eastAsia="仿宋_GB2312" w:cs="Times New Roman"/>
          <w:kern w:val="2"/>
          <w:sz w:val="30"/>
          <w:szCs w:val="30"/>
          <w:lang w:val="zh-CN"/>
        </w:rPr>
        <w:t>主要原因是：</w:t>
      </w:r>
      <w:r>
        <w:rPr>
          <w:rFonts w:hint="default" w:ascii="Times New Roman" w:hAnsi="Times New Roman" w:eastAsia="仿宋_GB2312" w:cs="Times New Roman"/>
          <w:sz w:val="30"/>
          <w:szCs w:val="30"/>
          <w:lang w:val="zh-CN"/>
        </w:rPr>
        <w:t>2021年天津市滨海新区塘沽传染病医院与天津市滨海新区塘沽结核病防治所单位合并,造成当年收支增加</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rPr>
        <w:t>其中：</w:t>
      </w:r>
      <w:r>
        <w:rPr>
          <w:rFonts w:hint="default" w:ascii="Times New Roman" w:hAnsi="Times New Roman" w:eastAsia="仿宋_GB2312" w:cs="Times New Roman"/>
          <w:kern w:val="2"/>
          <w:sz w:val="30"/>
          <w:szCs w:val="30"/>
          <w:lang w:val="zh-CN"/>
        </w:rPr>
        <w:t>基本支出66,056,001.60元，占95.06%；项目支出3,433,980.44元，占4.94%。</w:t>
      </w:r>
    </w:p>
    <w:p>
      <w:pPr>
        <w:pStyle w:val="3"/>
        <w:keepNext/>
        <w:keepLines/>
        <w:spacing w:line="600" w:lineRule="exact"/>
        <w:ind w:firstLine="602"/>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四、财政拨款收支决算总体情况说明</w:t>
      </w:r>
    </w:p>
    <w:p>
      <w:pPr>
        <w:spacing w:line="580" w:lineRule="exact"/>
        <w:ind w:firstLine="60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天津市滨海新区塘沽传染病医院2021年度财政拨款收入、支出决算总计</w:t>
      </w:r>
      <w:r>
        <w:rPr>
          <w:rFonts w:hint="default" w:ascii="Times New Roman" w:hAnsi="Times New Roman" w:eastAsia="仿宋_GB2312" w:cs="Times New Roman"/>
          <w:kern w:val="2"/>
          <w:sz w:val="30"/>
          <w:szCs w:val="30"/>
          <w:lang w:val="zh-CN"/>
        </w:rPr>
        <w:t>32,577,655.04</w:t>
      </w:r>
      <w:r>
        <w:rPr>
          <w:rFonts w:hint="default" w:ascii="Times New Roman" w:hAnsi="Times New Roman" w:eastAsia="仿宋_GB2312" w:cs="Times New Roman"/>
          <w:kern w:val="2"/>
          <w:sz w:val="30"/>
          <w:szCs w:val="30"/>
        </w:rPr>
        <w:t>元，与2020年度相比，财政拨款收、支总计各增加14,623,001.04元，增长81.44%，</w:t>
      </w:r>
      <w:r>
        <w:rPr>
          <w:rFonts w:hint="default" w:ascii="Times New Roman" w:hAnsi="Times New Roman" w:eastAsia="仿宋_GB2312" w:cs="Times New Roman"/>
          <w:kern w:val="2"/>
          <w:sz w:val="30"/>
          <w:szCs w:val="30"/>
          <w:lang w:val="zh-CN"/>
        </w:rPr>
        <w:t>主要原因是：</w:t>
      </w:r>
      <w:r>
        <w:rPr>
          <w:rFonts w:hint="default" w:ascii="Times New Roman" w:hAnsi="Times New Roman" w:eastAsia="仿宋_GB2312" w:cs="Times New Roman"/>
          <w:sz w:val="30"/>
          <w:szCs w:val="30"/>
          <w:lang w:val="zh-CN"/>
        </w:rPr>
        <w:t>2021年天津市滨海新区塘沽传染病医院与天津市滨海新区塘沽结核病防治所单位合并,造成当年收支增加</w:t>
      </w:r>
      <w:r>
        <w:rPr>
          <w:rFonts w:hint="default" w:ascii="Times New Roman" w:hAnsi="Times New Roman" w:eastAsia="仿宋_GB2312" w:cs="Times New Roman"/>
          <w:kern w:val="2"/>
          <w:sz w:val="30"/>
          <w:szCs w:val="30"/>
          <w:lang w:val="zh-CN"/>
        </w:rPr>
        <w:t>。</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五、一般公共预算财政拨款支出决算情况说明</w:t>
      </w:r>
    </w:p>
    <w:p>
      <w:pPr>
        <w:spacing w:line="600" w:lineRule="exact"/>
        <w:ind w:left="48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（一）总体情况</w:t>
      </w:r>
    </w:p>
    <w:p>
      <w:pPr>
        <w:spacing w:line="58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天津市滨海新区塘沽传染病医院2021年度部门决算一般公共预算财政拨款支出</w:t>
      </w:r>
      <w:r>
        <w:rPr>
          <w:rFonts w:hint="default" w:ascii="Times New Roman" w:hAnsi="Times New Roman" w:eastAsia="仿宋_GB2312" w:cs="Times New Roman"/>
          <w:kern w:val="2"/>
          <w:sz w:val="30"/>
          <w:szCs w:val="30"/>
          <w:lang w:val="zh-CN"/>
        </w:rPr>
        <w:t>合</w:t>
      </w:r>
      <w:r>
        <w:rPr>
          <w:rFonts w:hint="default" w:ascii="Times New Roman" w:hAnsi="Times New Roman" w:eastAsia="仿宋_GB2312" w:cs="Times New Roman"/>
          <w:kern w:val="2"/>
          <w:sz w:val="30"/>
          <w:szCs w:val="30"/>
        </w:rPr>
        <w:t>计32,577,655.04元，占本年支出合计的46.88%，与2020年度相比，增加17,766,291.04元，增长119.95%，</w:t>
      </w:r>
      <w:r>
        <w:rPr>
          <w:rFonts w:hint="default" w:ascii="Times New Roman" w:hAnsi="Times New Roman" w:eastAsia="仿宋_GB2312" w:cs="Times New Roman"/>
          <w:kern w:val="2"/>
          <w:sz w:val="30"/>
          <w:szCs w:val="30"/>
          <w:lang w:val="zh-CN"/>
        </w:rPr>
        <w:t>主要原因是：</w:t>
      </w:r>
      <w:r>
        <w:rPr>
          <w:rFonts w:hint="default" w:ascii="Times New Roman" w:hAnsi="Times New Roman" w:eastAsia="仿宋_GB2312" w:cs="Times New Roman"/>
          <w:sz w:val="30"/>
          <w:szCs w:val="30"/>
          <w:lang w:val="zh-CN"/>
        </w:rPr>
        <w:t>2021年天津市滨海新区塘沽传染病医院与天津市滨海新区塘沽结核病防治所单位合并,造成当年收支增加</w:t>
      </w:r>
      <w:r>
        <w:rPr>
          <w:rFonts w:hint="default" w:ascii="Times New Roman" w:hAnsi="Times New Roman" w:eastAsia="仿宋_GB2312" w:cs="Times New Roman"/>
          <w:kern w:val="2"/>
          <w:sz w:val="30"/>
          <w:szCs w:val="30"/>
        </w:rPr>
        <w:t>。</w:t>
      </w:r>
    </w:p>
    <w:p>
      <w:pPr>
        <w:spacing w:line="600" w:lineRule="exact"/>
        <w:ind w:left="48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w:t>
      </w:r>
      <w:r>
        <w:rPr>
          <w:rFonts w:hint="default" w:ascii="Times New Roman" w:hAnsi="Times New Roman" w:eastAsia="楷体" w:cs="Times New Roman"/>
          <w:b/>
          <w:bCs/>
          <w:sz w:val="30"/>
          <w:szCs w:val="30"/>
          <w:lang w:val="zh-CN"/>
        </w:rPr>
        <w:t>支出结构</w:t>
      </w:r>
      <w:r>
        <w:rPr>
          <w:rFonts w:hint="default" w:ascii="Times New Roman" w:hAnsi="Times New Roman" w:eastAsia="楷体" w:cs="Times New Roman"/>
          <w:b/>
          <w:bCs/>
          <w:sz w:val="30"/>
          <w:szCs w:val="30"/>
        </w:rPr>
        <w:t>情况</w:t>
      </w:r>
    </w:p>
    <w:p>
      <w:pPr>
        <w:spacing w:line="600" w:lineRule="exact"/>
        <w:ind w:firstLine="720"/>
        <w:jc w:val="both"/>
        <w:rPr>
          <w:rFonts w:hint="default" w:ascii="Times New Roman" w:hAnsi="Times New Roman" w:eastAsia="仿宋_GB2312" w:cs="Times New Roman"/>
          <w:kern w:val="2"/>
          <w:sz w:val="30"/>
          <w:szCs w:val="30"/>
          <w:lang w:val="zh-CN"/>
        </w:rPr>
      </w:pPr>
      <w:r>
        <w:rPr>
          <w:rFonts w:hint="default" w:ascii="Times New Roman" w:hAnsi="Times New Roman" w:eastAsia="仿宋_GB2312" w:cs="Times New Roman"/>
          <w:kern w:val="2"/>
          <w:sz w:val="30"/>
          <w:szCs w:val="30"/>
        </w:rPr>
        <w:t>2021年度一般公共预算财政拨款支出32,577,655.04元，</w:t>
      </w:r>
      <w:r>
        <w:rPr>
          <w:rFonts w:hint="default" w:ascii="Times New Roman" w:hAnsi="Times New Roman" w:eastAsia="仿宋_GB2312" w:cs="Times New Roman"/>
          <w:sz w:val="30"/>
          <w:szCs w:val="30"/>
        </w:rPr>
        <w:t>主要用于以下方面：</w:t>
      </w:r>
      <w:r>
        <w:rPr>
          <w:rFonts w:hint="default" w:ascii="Times New Roman" w:hAnsi="Times New Roman" w:eastAsia="仿宋_GB2312" w:cs="Times New Roman"/>
          <w:kern w:val="2"/>
          <w:sz w:val="30"/>
          <w:szCs w:val="30"/>
          <w:lang w:val="zh-CN"/>
        </w:rPr>
        <w:t>卫生健康支出32,577,655.04元，占100.00%。</w:t>
      </w:r>
    </w:p>
    <w:p>
      <w:pPr>
        <w:spacing w:line="600" w:lineRule="exact"/>
        <w:ind w:left="480"/>
        <w:rPr>
          <w:rFonts w:hint="default" w:ascii="Times New Roman" w:hAnsi="Times New Roman" w:eastAsia="楷体" w:cs="Times New Roman"/>
          <w:b/>
          <w:bCs/>
          <w:color w:val="000000" w:themeColor="text1"/>
          <w:sz w:val="30"/>
          <w:szCs w:val="30"/>
        </w:rPr>
      </w:pPr>
      <w:r>
        <w:rPr>
          <w:rFonts w:hint="default" w:ascii="Times New Roman" w:hAnsi="Times New Roman" w:eastAsia="楷体" w:cs="Times New Roman"/>
          <w:b/>
          <w:bCs/>
          <w:color w:val="000000" w:themeColor="text1"/>
          <w:sz w:val="30"/>
          <w:szCs w:val="30"/>
        </w:rPr>
        <w:t>（三）具体情况</w:t>
      </w:r>
    </w:p>
    <w:p>
      <w:pPr>
        <w:spacing w:line="600" w:lineRule="exact"/>
        <w:ind w:firstLine="600"/>
        <w:jc w:val="both"/>
        <w:rPr>
          <w:rFonts w:hint="default" w:ascii="Times New Roman" w:hAnsi="Times New Roman" w:eastAsia="仿宋_GB2312" w:cs="Times New Roman"/>
          <w:color w:val="000000" w:themeColor="text1"/>
          <w:sz w:val="30"/>
          <w:szCs w:val="30"/>
        </w:rPr>
      </w:pPr>
      <w:r>
        <w:rPr>
          <w:rFonts w:hint="default" w:ascii="Times New Roman" w:hAnsi="Times New Roman" w:eastAsia="仿宋_GB2312" w:cs="Times New Roman"/>
          <w:color w:val="000000" w:themeColor="text1"/>
          <w:sz w:val="30"/>
          <w:szCs w:val="30"/>
        </w:rPr>
        <w:t>2021年度一般公共预算财政拨款支出年初预算为</w:t>
      </w:r>
      <w:r>
        <w:rPr>
          <w:rFonts w:hint="default" w:ascii="Times New Roman" w:hAnsi="Times New Roman" w:eastAsia="仿宋_GB2312" w:cs="Times New Roman"/>
          <w:color w:val="000000" w:themeColor="text1"/>
          <w:kern w:val="2"/>
          <w:sz w:val="30"/>
          <w:szCs w:val="30"/>
        </w:rPr>
        <w:t>28,527,966.40</w:t>
      </w:r>
      <w:r>
        <w:rPr>
          <w:rFonts w:hint="default" w:ascii="Times New Roman" w:hAnsi="Times New Roman" w:eastAsia="仿宋_GB2312" w:cs="Times New Roman"/>
          <w:color w:val="000000" w:themeColor="text1"/>
          <w:sz w:val="30"/>
          <w:szCs w:val="30"/>
        </w:rPr>
        <w:t>元，支出决算为</w:t>
      </w:r>
      <w:r>
        <w:rPr>
          <w:rFonts w:hint="default" w:ascii="Times New Roman" w:hAnsi="Times New Roman" w:eastAsia="仿宋_GB2312" w:cs="Times New Roman"/>
          <w:color w:val="000000" w:themeColor="text1"/>
          <w:kern w:val="2"/>
          <w:sz w:val="30"/>
          <w:szCs w:val="30"/>
        </w:rPr>
        <w:t>32,577,655.04</w:t>
      </w:r>
      <w:r>
        <w:rPr>
          <w:rFonts w:hint="default" w:ascii="Times New Roman" w:hAnsi="Times New Roman" w:eastAsia="仿宋_GB2312" w:cs="Times New Roman"/>
          <w:color w:val="000000" w:themeColor="text1"/>
          <w:sz w:val="30"/>
          <w:szCs w:val="30"/>
        </w:rPr>
        <w:t>元，完成年初预算的</w:t>
      </w:r>
      <w:r>
        <w:rPr>
          <w:rFonts w:hint="default" w:ascii="Times New Roman" w:hAnsi="Times New Roman" w:eastAsia="仿宋_GB2312" w:cs="Times New Roman"/>
          <w:color w:val="000000" w:themeColor="text1"/>
          <w:kern w:val="2"/>
          <w:sz w:val="30"/>
          <w:szCs w:val="30"/>
        </w:rPr>
        <w:t>114.20</w:t>
      </w:r>
      <w:r>
        <w:rPr>
          <w:rFonts w:hint="default" w:ascii="Times New Roman" w:hAnsi="Times New Roman" w:eastAsia="仿宋_GB2312" w:cs="Times New Roman"/>
          <w:color w:val="000000" w:themeColor="text1"/>
          <w:sz w:val="30"/>
          <w:szCs w:val="30"/>
        </w:rPr>
        <w:t>%。其中：</w:t>
      </w:r>
    </w:p>
    <w:p>
      <w:pPr>
        <w:spacing w:line="600" w:lineRule="exact"/>
        <w:ind w:firstLine="600"/>
        <w:jc w:val="both"/>
        <w:rPr>
          <w:rFonts w:hint="default" w:ascii="Times New Roman" w:hAnsi="Times New Roman" w:eastAsia="仿宋_GB2312" w:cs="Times New Roman"/>
          <w:color w:val="000000" w:themeColor="text1"/>
          <w:sz w:val="30"/>
          <w:szCs w:val="30"/>
        </w:rPr>
      </w:pPr>
      <w:r>
        <w:rPr>
          <w:rFonts w:hint="default" w:ascii="Times New Roman" w:hAnsi="Times New Roman" w:eastAsia="仿宋_GB2312" w:cs="Times New Roman"/>
          <w:color w:val="000000" w:themeColor="text1"/>
          <w:sz w:val="30"/>
          <w:szCs w:val="30"/>
        </w:rPr>
        <w:t>1. 卫生健康支出（类）公立医院（款）传染病医院（项）年初预算为</w:t>
      </w:r>
      <w:r>
        <w:rPr>
          <w:rFonts w:hint="default" w:ascii="Times New Roman" w:hAnsi="Times New Roman" w:eastAsia="仿宋_GB2312" w:cs="Times New Roman"/>
          <w:color w:val="000000" w:themeColor="text1"/>
          <w:kern w:val="2"/>
          <w:sz w:val="30"/>
          <w:szCs w:val="30"/>
        </w:rPr>
        <w:t>24379299.40</w:t>
      </w:r>
      <w:r>
        <w:rPr>
          <w:rFonts w:hint="default" w:ascii="Times New Roman" w:hAnsi="Times New Roman" w:eastAsia="仿宋_GB2312" w:cs="Times New Roman"/>
          <w:color w:val="000000" w:themeColor="text1"/>
          <w:sz w:val="30"/>
          <w:szCs w:val="30"/>
        </w:rPr>
        <w:t>元，支出决算为</w:t>
      </w:r>
      <w:r>
        <w:rPr>
          <w:rFonts w:hint="default" w:ascii="Times New Roman" w:hAnsi="Times New Roman" w:eastAsia="仿宋_GB2312" w:cs="Times New Roman"/>
          <w:color w:val="000000" w:themeColor="text1"/>
          <w:kern w:val="2"/>
          <w:sz w:val="30"/>
          <w:szCs w:val="30"/>
        </w:rPr>
        <w:t>24727540.00</w:t>
      </w:r>
      <w:r>
        <w:rPr>
          <w:rFonts w:hint="default" w:ascii="Times New Roman" w:hAnsi="Times New Roman" w:eastAsia="仿宋_GB2312" w:cs="Times New Roman"/>
          <w:color w:val="000000" w:themeColor="text1"/>
          <w:sz w:val="30"/>
          <w:szCs w:val="30"/>
        </w:rPr>
        <w:t>元，完成年初预算的101.42%，决算数小于大于年初预算数的主要原因是天津市滨海新区塘沽传染病医院与天津市滨海新区塘沽结核病防治所单位合并后指标追加。</w:t>
      </w:r>
    </w:p>
    <w:p>
      <w:pPr>
        <w:spacing w:line="600" w:lineRule="exact"/>
        <w:ind w:firstLine="600"/>
        <w:jc w:val="both"/>
        <w:rPr>
          <w:rFonts w:hint="default" w:ascii="Times New Roman" w:hAnsi="Times New Roman" w:eastAsia="仿宋_GB2312" w:cs="Times New Roman"/>
          <w:color w:val="000000" w:themeColor="text1"/>
          <w:sz w:val="30"/>
          <w:szCs w:val="30"/>
        </w:rPr>
      </w:pPr>
      <w:r>
        <w:rPr>
          <w:rFonts w:hint="default" w:ascii="Times New Roman" w:hAnsi="Times New Roman" w:eastAsia="仿宋_GB2312" w:cs="Times New Roman"/>
          <w:color w:val="000000" w:themeColor="text1"/>
          <w:sz w:val="30"/>
          <w:szCs w:val="30"/>
        </w:rPr>
        <w:t>2. 卫生健康支出（类）公共卫生（款）其他专业公共卫生机构（项）年初预算为</w:t>
      </w:r>
      <w:r>
        <w:rPr>
          <w:rFonts w:hint="default" w:ascii="Times New Roman" w:hAnsi="Times New Roman" w:eastAsia="仿宋_GB2312" w:cs="Times New Roman"/>
          <w:color w:val="000000" w:themeColor="text1"/>
          <w:kern w:val="2"/>
          <w:sz w:val="30"/>
          <w:szCs w:val="30"/>
        </w:rPr>
        <w:t>4148667.00</w:t>
      </w:r>
      <w:r>
        <w:rPr>
          <w:rFonts w:hint="default" w:ascii="Times New Roman" w:hAnsi="Times New Roman" w:eastAsia="仿宋_GB2312" w:cs="Times New Roman"/>
          <w:color w:val="000000" w:themeColor="text1"/>
          <w:sz w:val="30"/>
          <w:szCs w:val="30"/>
        </w:rPr>
        <w:t>元，支出决算为</w:t>
      </w:r>
      <w:r>
        <w:rPr>
          <w:rFonts w:hint="default" w:ascii="Times New Roman" w:hAnsi="Times New Roman" w:eastAsia="仿宋_GB2312" w:cs="Times New Roman"/>
          <w:color w:val="000000" w:themeColor="text1"/>
          <w:kern w:val="2"/>
          <w:sz w:val="30"/>
          <w:szCs w:val="30"/>
        </w:rPr>
        <w:t>4148667</w:t>
      </w:r>
      <w:r>
        <w:rPr>
          <w:rFonts w:hint="default" w:ascii="Times New Roman" w:hAnsi="Times New Roman" w:eastAsia="仿宋_GB2312" w:cs="Times New Roman"/>
          <w:color w:val="000000" w:themeColor="text1"/>
          <w:sz w:val="30"/>
          <w:szCs w:val="30"/>
        </w:rPr>
        <w:t>元，完成年初预算的100%。</w:t>
      </w:r>
    </w:p>
    <w:p>
      <w:pPr>
        <w:spacing w:line="600" w:lineRule="exact"/>
        <w:ind w:firstLine="600"/>
        <w:jc w:val="both"/>
        <w:rPr>
          <w:rFonts w:hint="default" w:ascii="Times New Roman" w:hAnsi="Times New Roman" w:eastAsia="仿宋_GB2312" w:cs="Times New Roman"/>
          <w:color w:val="000000" w:themeColor="text1"/>
          <w:sz w:val="30"/>
          <w:szCs w:val="30"/>
        </w:rPr>
      </w:pPr>
      <w:r>
        <w:rPr>
          <w:rFonts w:hint="default" w:ascii="Times New Roman" w:hAnsi="Times New Roman" w:eastAsia="仿宋_GB2312" w:cs="Times New Roman"/>
          <w:color w:val="000000" w:themeColor="text1"/>
          <w:sz w:val="30"/>
          <w:szCs w:val="30"/>
        </w:rPr>
        <w:t>3. 卫生健康支出（类）公共卫生（款）基本公共卫生服务（项）年初预算为</w:t>
      </w:r>
      <w:r>
        <w:rPr>
          <w:rFonts w:hint="default" w:ascii="Times New Roman" w:hAnsi="Times New Roman" w:eastAsia="仿宋_GB2312" w:cs="Times New Roman"/>
          <w:color w:val="000000" w:themeColor="text1"/>
          <w:kern w:val="2"/>
          <w:sz w:val="30"/>
          <w:szCs w:val="30"/>
        </w:rPr>
        <w:t>0.00</w:t>
      </w:r>
      <w:r>
        <w:rPr>
          <w:rFonts w:hint="default" w:ascii="Times New Roman" w:hAnsi="Times New Roman" w:eastAsia="仿宋_GB2312" w:cs="Times New Roman"/>
          <w:color w:val="000000" w:themeColor="text1"/>
          <w:sz w:val="30"/>
          <w:szCs w:val="30"/>
        </w:rPr>
        <w:t>元，支出决算为</w:t>
      </w:r>
      <w:r>
        <w:rPr>
          <w:rFonts w:hint="default" w:ascii="Times New Roman" w:hAnsi="Times New Roman" w:eastAsia="仿宋_GB2312" w:cs="Times New Roman"/>
          <w:color w:val="000000" w:themeColor="text1"/>
          <w:kern w:val="2"/>
          <w:sz w:val="30"/>
          <w:szCs w:val="30"/>
        </w:rPr>
        <w:t>318890.00</w:t>
      </w:r>
      <w:r>
        <w:rPr>
          <w:rFonts w:hint="default" w:ascii="Times New Roman" w:hAnsi="Times New Roman" w:eastAsia="仿宋_GB2312" w:cs="Times New Roman"/>
          <w:color w:val="000000" w:themeColor="text1"/>
          <w:sz w:val="30"/>
          <w:szCs w:val="30"/>
        </w:rPr>
        <w:t>元，决算数大于年初预算数的主要原因是因追加预算造成决算数大于年初预算数。</w:t>
      </w:r>
    </w:p>
    <w:p>
      <w:pPr>
        <w:spacing w:line="600" w:lineRule="exact"/>
        <w:ind w:firstLine="600"/>
        <w:jc w:val="both"/>
        <w:rPr>
          <w:rFonts w:hint="default" w:ascii="Times New Roman" w:hAnsi="Times New Roman" w:eastAsia="仿宋_GB2312" w:cs="Times New Roman"/>
          <w:color w:val="000000" w:themeColor="text1"/>
          <w:sz w:val="30"/>
          <w:szCs w:val="30"/>
        </w:rPr>
      </w:pPr>
      <w:r>
        <w:rPr>
          <w:rFonts w:hint="default" w:ascii="Times New Roman" w:hAnsi="Times New Roman" w:eastAsia="仿宋_GB2312" w:cs="Times New Roman"/>
          <w:color w:val="000000" w:themeColor="text1"/>
          <w:sz w:val="30"/>
          <w:szCs w:val="30"/>
        </w:rPr>
        <w:t>4. 卫生健康支出（类）公共卫生（款）重大公共卫生服务（项）年初预算为</w:t>
      </w:r>
      <w:r>
        <w:rPr>
          <w:rFonts w:hint="default" w:ascii="Times New Roman" w:hAnsi="Times New Roman" w:eastAsia="仿宋_GB2312" w:cs="Times New Roman"/>
          <w:color w:val="000000" w:themeColor="text1"/>
          <w:kern w:val="2"/>
          <w:sz w:val="30"/>
          <w:szCs w:val="30"/>
        </w:rPr>
        <w:t>44400.00</w:t>
      </w:r>
      <w:r>
        <w:rPr>
          <w:rFonts w:hint="default" w:ascii="Times New Roman" w:hAnsi="Times New Roman" w:eastAsia="仿宋_GB2312" w:cs="Times New Roman"/>
          <w:color w:val="000000" w:themeColor="text1"/>
          <w:sz w:val="30"/>
          <w:szCs w:val="30"/>
        </w:rPr>
        <w:t>元，支出决算为</w:t>
      </w:r>
      <w:r>
        <w:rPr>
          <w:rFonts w:hint="default" w:ascii="Times New Roman" w:hAnsi="Times New Roman" w:eastAsia="仿宋_GB2312" w:cs="Times New Roman"/>
          <w:color w:val="000000" w:themeColor="text1"/>
          <w:kern w:val="2"/>
          <w:sz w:val="30"/>
          <w:szCs w:val="30"/>
        </w:rPr>
        <w:t>273263.04</w:t>
      </w:r>
      <w:r>
        <w:rPr>
          <w:rFonts w:hint="default" w:ascii="Times New Roman" w:hAnsi="Times New Roman" w:eastAsia="仿宋_GB2312" w:cs="Times New Roman"/>
          <w:color w:val="000000" w:themeColor="text1"/>
          <w:sz w:val="30"/>
          <w:szCs w:val="30"/>
        </w:rPr>
        <w:t>元，决算数大于年初预算数的主要原因是因追加预算造成决算数大于年初预算数。</w:t>
      </w:r>
    </w:p>
    <w:p>
      <w:pPr>
        <w:spacing w:line="600" w:lineRule="exact"/>
        <w:ind w:firstLine="600"/>
        <w:jc w:val="both"/>
        <w:rPr>
          <w:rFonts w:hint="default" w:ascii="Times New Roman" w:hAnsi="Times New Roman" w:eastAsia="仿宋_GB2312" w:cs="Times New Roman"/>
          <w:color w:val="000000" w:themeColor="text1"/>
          <w:sz w:val="30"/>
          <w:szCs w:val="30"/>
        </w:rPr>
      </w:pPr>
      <w:r>
        <w:rPr>
          <w:rFonts w:hint="default" w:ascii="Times New Roman" w:hAnsi="Times New Roman" w:eastAsia="仿宋_GB2312" w:cs="Times New Roman"/>
          <w:color w:val="000000" w:themeColor="text1"/>
          <w:sz w:val="30"/>
          <w:szCs w:val="30"/>
        </w:rPr>
        <w:t>5. 卫生健康支出（类）公共卫生（款）突发公共卫生事件应急处理（项）年初预算为</w:t>
      </w:r>
      <w:r>
        <w:rPr>
          <w:rFonts w:hint="default" w:ascii="Times New Roman" w:hAnsi="Times New Roman" w:eastAsia="仿宋_GB2312" w:cs="Times New Roman"/>
          <w:color w:val="000000" w:themeColor="text1"/>
          <w:kern w:val="2"/>
          <w:sz w:val="30"/>
          <w:szCs w:val="30"/>
        </w:rPr>
        <w:t>0.00</w:t>
      </w:r>
      <w:r>
        <w:rPr>
          <w:rFonts w:hint="default" w:ascii="Times New Roman" w:hAnsi="Times New Roman" w:eastAsia="仿宋_GB2312" w:cs="Times New Roman"/>
          <w:color w:val="000000" w:themeColor="text1"/>
          <w:sz w:val="30"/>
          <w:szCs w:val="30"/>
        </w:rPr>
        <w:t>元，支出决算为</w:t>
      </w:r>
      <w:r>
        <w:rPr>
          <w:rFonts w:hint="default" w:ascii="Times New Roman" w:hAnsi="Times New Roman" w:eastAsia="仿宋_GB2312" w:cs="Times New Roman"/>
          <w:color w:val="000000" w:themeColor="text1"/>
          <w:kern w:val="2"/>
          <w:sz w:val="30"/>
          <w:szCs w:val="30"/>
        </w:rPr>
        <w:t>2624545.00</w:t>
      </w:r>
      <w:r>
        <w:rPr>
          <w:rFonts w:hint="default" w:ascii="Times New Roman" w:hAnsi="Times New Roman" w:eastAsia="仿宋_GB2312" w:cs="Times New Roman"/>
          <w:color w:val="000000" w:themeColor="text1"/>
          <w:sz w:val="30"/>
          <w:szCs w:val="30"/>
        </w:rPr>
        <w:t>元，决算数大于年初预算数的主要原因是因追加预算造成决算数大于年初预算数。</w:t>
      </w:r>
    </w:p>
    <w:p>
      <w:pPr>
        <w:spacing w:line="600" w:lineRule="exact"/>
        <w:ind w:firstLine="600"/>
        <w:jc w:val="both"/>
        <w:rPr>
          <w:rFonts w:hint="default" w:ascii="Times New Roman" w:hAnsi="Times New Roman" w:eastAsia="仿宋_GB2312" w:cs="Times New Roman"/>
          <w:color w:val="FF0000"/>
          <w:sz w:val="30"/>
          <w:szCs w:val="30"/>
        </w:rPr>
      </w:pPr>
      <w:r>
        <w:rPr>
          <w:rFonts w:hint="default" w:ascii="Times New Roman" w:hAnsi="Times New Roman" w:eastAsia="仿宋_GB2312" w:cs="Times New Roman"/>
          <w:color w:val="000000" w:themeColor="text1"/>
          <w:sz w:val="30"/>
          <w:szCs w:val="30"/>
        </w:rPr>
        <w:t>6. 卫生健康支出（类）公共卫生（款）其他公共卫生支出（项）年初预算为</w:t>
      </w:r>
      <w:r>
        <w:rPr>
          <w:rFonts w:hint="default" w:ascii="Times New Roman" w:hAnsi="Times New Roman" w:eastAsia="仿宋_GB2312" w:cs="Times New Roman"/>
          <w:color w:val="000000" w:themeColor="text1"/>
          <w:kern w:val="2"/>
          <w:sz w:val="30"/>
          <w:szCs w:val="30"/>
        </w:rPr>
        <w:t>0.00</w:t>
      </w:r>
      <w:r>
        <w:rPr>
          <w:rFonts w:hint="default" w:ascii="Times New Roman" w:hAnsi="Times New Roman" w:eastAsia="仿宋_GB2312" w:cs="Times New Roman"/>
          <w:color w:val="000000" w:themeColor="text1"/>
          <w:sz w:val="30"/>
          <w:szCs w:val="30"/>
        </w:rPr>
        <w:t>元，支出决算为</w:t>
      </w:r>
      <w:r>
        <w:rPr>
          <w:rFonts w:hint="default" w:ascii="Times New Roman" w:hAnsi="Times New Roman" w:eastAsia="仿宋_GB2312" w:cs="Times New Roman"/>
          <w:color w:val="000000" w:themeColor="text1"/>
          <w:kern w:val="2"/>
          <w:sz w:val="30"/>
          <w:szCs w:val="30"/>
        </w:rPr>
        <w:t>484750.00</w:t>
      </w:r>
      <w:r>
        <w:rPr>
          <w:rFonts w:hint="default" w:ascii="Times New Roman" w:hAnsi="Times New Roman" w:eastAsia="仿宋_GB2312" w:cs="Times New Roman"/>
          <w:color w:val="000000" w:themeColor="text1"/>
          <w:sz w:val="30"/>
          <w:szCs w:val="30"/>
        </w:rPr>
        <w:t>元，决算数小于大于年初预算数的主要原因是因追加预算造成决算数大于年初预算数。</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六、一般公共预算财政拨款基本支出决算情况说明</w:t>
      </w:r>
    </w:p>
    <w:p>
      <w:pPr>
        <w:spacing w:line="580" w:lineRule="exact"/>
        <w:ind w:firstLine="60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天津市滨海新区塘沽传染病医院2021年度部门决算一般公共预算财政拨款基本支出合计29,176,207.00元，与2020年度相比增加14,617,507.00元，</w:t>
      </w:r>
      <w:r>
        <w:rPr>
          <w:rFonts w:hint="default" w:ascii="Times New Roman" w:hAnsi="Times New Roman" w:eastAsia="仿宋_GB2312" w:cs="Times New Roman"/>
          <w:sz w:val="30"/>
          <w:szCs w:val="30"/>
        </w:rPr>
        <w:t>主要原因是</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sz w:val="30"/>
          <w:szCs w:val="30"/>
          <w:lang w:val="zh-CN"/>
        </w:rPr>
        <w:t>2021年天津市滨海新区塘沽传染病医院与天津市滨海新区塘沽结核病防治所单位合并,造成当年收支增加</w:t>
      </w:r>
      <w:r>
        <w:rPr>
          <w:rFonts w:hint="default" w:ascii="Times New Roman" w:hAnsi="Times New Roman" w:eastAsia="仿宋_GB2312" w:cs="Times New Roman"/>
          <w:kern w:val="2"/>
          <w:sz w:val="30"/>
          <w:szCs w:val="30"/>
        </w:rPr>
        <w:t>。</w:t>
      </w:r>
      <w:r>
        <w:rPr>
          <w:rFonts w:hint="default" w:ascii="Times New Roman" w:hAnsi="Times New Roman" w:eastAsia="仿宋_GB2312" w:cs="Times New Roman"/>
          <w:sz w:val="30"/>
          <w:szCs w:val="30"/>
        </w:rPr>
        <w:t>其中：人员经费</w:t>
      </w:r>
      <w:r>
        <w:rPr>
          <w:rFonts w:hint="default" w:ascii="Times New Roman" w:hAnsi="Times New Roman" w:eastAsia="仿宋_GB2312" w:cs="Times New Roman"/>
          <w:kern w:val="2"/>
          <w:sz w:val="30"/>
          <w:szCs w:val="30"/>
        </w:rPr>
        <w:t>25,518,907.00</w:t>
      </w:r>
      <w:r>
        <w:rPr>
          <w:rFonts w:hint="default" w:ascii="Times New Roman" w:hAnsi="Times New Roman" w:eastAsia="仿宋_GB2312" w:cs="Times New Roman"/>
          <w:sz w:val="30"/>
          <w:szCs w:val="30"/>
        </w:rPr>
        <w:t>元，主要包括基本工资、津贴补贴、绩效工资、机关事业单位基本养老保险缴费、职业年金缴费、职工基本医疗保险缴费、其他社会保障缴费、住房公积金、其他工资福利支出、退休费、抚恤金；公用经费</w:t>
      </w:r>
      <w:r>
        <w:rPr>
          <w:rFonts w:hint="default" w:ascii="Times New Roman" w:hAnsi="Times New Roman" w:eastAsia="仿宋_GB2312" w:cs="Times New Roman"/>
          <w:kern w:val="2"/>
          <w:sz w:val="30"/>
          <w:szCs w:val="30"/>
        </w:rPr>
        <w:t>3,657,300.00</w:t>
      </w:r>
      <w:r>
        <w:rPr>
          <w:rFonts w:hint="default" w:ascii="Times New Roman" w:hAnsi="Times New Roman" w:eastAsia="仿宋_GB2312" w:cs="Times New Roman"/>
          <w:sz w:val="30"/>
          <w:szCs w:val="30"/>
        </w:rPr>
        <w:t>元，主要包括办公费、印刷费、咨询费、水费、电费、取暖费、物业管理费、维修(护)费、租赁费、专用材料费、工会经费、其他商品和服务支出。</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七、一般公共预算财政拨款“三公”经费</w:t>
      </w:r>
      <w:r>
        <w:rPr>
          <w:rFonts w:hint="default" w:ascii="Times New Roman" w:hAnsi="Times New Roman" w:cs="Times New Roman"/>
          <w:b/>
          <w:bCs/>
          <w:sz w:val="30"/>
          <w:szCs w:val="30"/>
          <w:lang w:val="zh-CN"/>
        </w:rPr>
        <w:t>支出决算</w:t>
      </w:r>
      <w:r>
        <w:rPr>
          <w:rFonts w:hint="default" w:ascii="Times New Roman" w:hAnsi="Times New Roman" w:cs="Times New Roman"/>
          <w:b/>
          <w:bCs/>
          <w:sz w:val="30"/>
          <w:szCs w:val="30"/>
        </w:rPr>
        <w:t>情况</w:t>
      </w:r>
    </w:p>
    <w:p>
      <w:pPr>
        <w:spacing w:line="560" w:lineRule="exact"/>
        <w:ind w:firstLine="600"/>
        <w:jc w:val="both"/>
        <w:rPr>
          <w:rFonts w:hint="default" w:ascii="Times New Roman" w:hAnsi="Times New Roman" w:eastAsia="仿宋_GB2312" w:cs="Times New Roman"/>
          <w:sz w:val="30"/>
          <w:szCs w:val="30"/>
        </w:rPr>
      </w:pPr>
      <w:r>
        <w:rPr>
          <w:rFonts w:hint="default" w:ascii="Times New Roman" w:hAnsi="Times New Roman" w:cs="Times New Roman"/>
          <w:sz w:val="30"/>
          <w:szCs w:val="30"/>
        </w:rPr>
        <w:t>2021</w:t>
      </w:r>
      <w:r>
        <w:rPr>
          <w:rFonts w:hint="default" w:ascii="Times New Roman" w:hAnsi="Times New Roman" w:eastAsia="仿宋_GB2312" w:cs="Times New Roman"/>
          <w:sz w:val="30"/>
          <w:szCs w:val="30"/>
        </w:rPr>
        <w:t>年一般公共预算财政拨款“三公”经费决算0.00元，与2021年</w:t>
      </w:r>
      <w:r>
        <w:rPr>
          <w:rFonts w:hint="default" w:ascii="Times New Roman" w:hAnsi="Times New Roman" w:eastAsia="仿宋_GB2312" w:cs="Times New Roman"/>
          <w:sz w:val="30"/>
          <w:szCs w:val="30"/>
          <w:lang w:val="zh-CN"/>
        </w:rPr>
        <w:t>预</w:t>
      </w:r>
      <w:r>
        <w:rPr>
          <w:rFonts w:hint="default" w:ascii="Times New Roman" w:hAnsi="Times New Roman" w:eastAsia="仿宋_GB2312" w:cs="Times New Roman"/>
          <w:sz w:val="30"/>
          <w:szCs w:val="30"/>
        </w:rPr>
        <w:t>算相比持平，主要原因是</w:t>
      </w:r>
      <w:r>
        <w:rPr>
          <w:rFonts w:hint="default" w:ascii="Times New Roman" w:hAnsi="Times New Roman" w:eastAsia="仿宋_GB2312" w:cs="Times New Roman"/>
          <w:sz w:val="30"/>
          <w:szCs w:val="30"/>
          <w:u w:val="single" w:color="FFFFFF"/>
        </w:rPr>
        <w:t>严格按照预算执行</w:t>
      </w:r>
      <w:r>
        <w:rPr>
          <w:rFonts w:hint="default" w:ascii="Times New Roman" w:hAnsi="Times New Roman" w:eastAsia="仿宋_GB2312" w:cs="Times New Roman"/>
          <w:sz w:val="30"/>
          <w:szCs w:val="30"/>
        </w:rPr>
        <w:t>。具体情况：</w:t>
      </w:r>
    </w:p>
    <w:p>
      <w:pPr>
        <w:spacing w:line="56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(一)2021年因公出国（境）费决算0.00元，与预算相比持平，主要原因是</w:t>
      </w:r>
      <w:r>
        <w:rPr>
          <w:rFonts w:hint="default" w:ascii="Times New Roman" w:hAnsi="Times New Roman" w:eastAsia="仿宋_GB2312" w:cs="Times New Roman"/>
          <w:sz w:val="30"/>
          <w:szCs w:val="30"/>
          <w:u w:val="single" w:color="FFFFFF"/>
        </w:rPr>
        <w:t>严格按照预算执行</w:t>
      </w:r>
      <w:r>
        <w:rPr>
          <w:rFonts w:hint="default" w:ascii="Times New Roman" w:hAnsi="Times New Roman" w:eastAsia="仿宋_GB2312" w:cs="Times New Roman"/>
          <w:sz w:val="30"/>
          <w:szCs w:val="30"/>
        </w:rPr>
        <w:t xml:space="preserve">。2021年本单位组织的出国团组0个，出国0人次。 </w:t>
      </w:r>
    </w:p>
    <w:p>
      <w:pPr>
        <w:spacing w:line="56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(二)2021年公务用车购置及运行维护费决算0.00元，其中公务用车运行维护费0.00元，与预算相比持平，主要原因是</w:t>
      </w:r>
      <w:r>
        <w:rPr>
          <w:rFonts w:hint="default" w:ascii="Times New Roman" w:hAnsi="Times New Roman" w:eastAsia="仿宋_GB2312" w:cs="Times New Roman"/>
          <w:sz w:val="30"/>
          <w:szCs w:val="30"/>
          <w:u w:val="single" w:color="FFFFFF"/>
        </w:rPr>
        <w:t>严格按照预算执行</w:t>
      </w:r>
      <w:r>
        <w:rPr>
          <w:rFonts w:hint="default" w:ascii="Times New Roman" w:hAnsi="Times New Roman" w:eastAsia="仿宋_GB2312" w:cs="Times New Roman"/>
          <w:sz w:val="30"/>
          <w:szCs w:val="30"/>
        </w:rPr>
        <w:t>；公务用车购置费0.00元，与预算相比持平，主要原因是</w:t>
      </w:r>
      <w:r>
        <w:rPr>
          <w:rFonts w:hint="default" w:ascii="Times New Roman" w:hAnsi="Times New Roman" w:eastAsia="仿宋_GB2312" w:cs="Times New Roman"/>
          <w:sz w:val="30"/>
          <w:szCs w:val="30"/>
          <w:u w:val="single" w:color="FFFFFF"/>
        </w:rPr>
        <w:t>严格按照预算执行</w:t>
      </w:r>
      <w:r>
        <w:rPr>
          <w:rFonts w:hint="default" w:ascii="Times New Roman" w:hAnsi="Times New Roman" w:eastAsia="仿宋_GB2312" w:cs="Times New Roman"/>
          <w:sz w:val="30"/>
          <w:szCs w:val="30"/>
        </w:rPr>
        <w:t>。2021年本单位公务用车保有0辆，购置公务用车0辆。</w:t>
      </w:r>
    </w:p>
    <w:p>
      <w:pPr>
        <w:spacing w:line="580" w:lineRule="exact"/>
        <w:ind w:firstLine="60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rPr>
        <w:t>(三)2021年公务接待费决算0.00元，与预算相比持平，主要原因是</w:t>
      </w:r>
      <w:r>
        <w:rPr>
          <w:rFonts w:hint="default" w:ascii="Times New Roman" w:hAnsi="Times New Roman" w:eastAsia="仿宋_GB2312" w:cs="Times New Roman"/>
          <w:sz w:val="30"/>
          <w:szCs w:val="30"/>
          <w:u w:val="single" w:color="FFFFFF"/>
        </w:rPr>
        <w:t>严格按照预算执行</w:t>
      </w:r>
      <w:r>
        <w:rPr>
          <w:rFonts w:hint="default" w:ascii="Times New Roman" w:hAnsi="Times New Roman" w:eastAsia="仿宋_GB2312" w:cs="Times New Roman"/>
          <w:sz w:val="30"/>
          <w:szCs w:val="30"/>
        </w:rPr>
        <w:t>。2021年本单位国内公务接待0批次，0人次；其中，外事接待0批次，0人次。</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八、政府性基金预算财政拨款收支决算情况</w:t>
      </w:r>
    </w:p>
    <w:p>
      <w:pPr>
        <w:spacing w:line="580" w:lineRule="exact"/>
        <w:ind w:firstLine="600"/>
        <w:jc w:val="both"/>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2"/>
          <w:sz w:val="30"/>
          <w:szCs w:val="30"/>
        </w:rPr>
        <w:t>天津市滨海新区塘沽传染病医院2021年度部门决算政府性基金预算财政拨款</w:t>
      </w:r>
      <w:r>
        <w:rPr>
          <w:rFonts w:hint="default" w:ascii="Times New Roman" w:hAnsi="Times New Roman" w:eastAsia="仿宋_GB2312" w:cs="Times New Roman"/>
          <w:sz w:val="30"/>
          <w:szCs w:val="30"/>
        </w:rPr>
        <w:t>年初结转和结余</w:t>
      </w:r>
      <w:r>
        <w:rPr>
          <w:rFonts w:hint="default" w:ascii="Times New Roman" w:hAnsi="Times New Roman" w:eastAsia="仿宋_GB2312" w:cs="Times New Roman"/>
          <w:kern w:val="2"/>
          <w:sz w:val="30"/>
          <w:szCs w:val="30"/>
        </w:rPr>
        <w:t>0.00</w:t>
      </w:r>
      <w:r>
        <w:rPr>
          <w:rFonts w:hint="default" w:ascii="Times New Roman" w:hAnsi="Times New Roman" w:eastAsia="仿宋_GB2312" w:cs="Times New Roman"/>
          <w:sz w:val="30"/>
          <w:szCs w:val="30"/>
        </w:rPr>
        <w:t>元，收入</w:t>
      </w:r>
      <w:r>
        <w:rPr>
          <w:rFonts w:hint="default" w:ascii="Times New Roman" w:hAnsi="Times New Roman" w:eastAsia="仿宋_GB2312" w:cs="Times New Roman"/>
          <w:kern w:val="2"/>
          <w:sz w:val="30"/>
          <w:szCs w:val="30"/>
        </w:rPr>
        <w:t>0.00</w:t>
      </w:r>
      <w:r>
        <w:rPr>
          <w:rFonts w:hint="default" w:ascii="Times New Roman" w:hAnsi="Times New Roman" w:eastAsia="仿宋_GB2312" w:cs="Times New Roman"/>
          <w:sz w:val="30"/>
          <w:szCs w:val="30"/>
        </w:rPr>
        <w:t>元，</w:t>
      </w:r>
      <w:r>
        <w:rPr>
          <w:rFonts w:hint="default" w:ascii="Times New Roman" w:hAnsi="Times New Roman" w:eastAsia="仿宋_GB2312" w:cs="Times New Roman"/>
          <w:kern w:val="2"/>
          <w:sz w:val="30"/>
          <w:szCs w:val="30"/>
        </w:rPr>
        <w:t>支出0.00元，</w:t>
      </w:r>
      <w:r>
        <w:rPr>
          <w:rFonts w:hint="default" w:ascii="Times New Roman" w:hAnsi="Times New Roman" w:eastAsia="仿宋_GB2312" w:cs="Times New Roman"/>
          <w:kern w:val="2"/>
          <w:sz w:val="30"/>
          <w:szCs w:val="30"/>
          <w:highlight w:val="white"/>
        </w:rPr>
        <w:t>年末结转和结余0.00元。</w:t>
      </w:r>
      <w:r>
        <w:rPr>
          <w:rFonts w:hint="default" w:ascii="Times New Roman" w:hAnsi="Times New Roman" w:eastAsia="仿宋_GB2312" w:cs="Times New Roman"/>
          <w:kern w:val="2"/>
          <w:sz w:val="30"/>
          <w:szCs w:val="30"/>
        </w:rPr>
        <w:t>与2020年度相比，政府性基金财政拨款支出减少3,090,000.00元，</w:t>
      </w:r>
      <w:r>
        <w:rPr>
          <w:rFonts w:hint="default" w:ascii="Times New Roman" w:hAnsi="Times New Roman" w:eastAsia="仿宋_GB2312" w:cs="Times New Roman"/>
          <w:kern w:val="2"/>
          <w:sz w:val="30"/>
          <w:szCs w:val="30"/>
          <w:highlight w:val="white"/>
        </w:rPr>
        <w:t>下降</w:t>
      </w:r>
      <w:r>
        <w:rPr>
          <w:rFonts w:hint="default" w:ascii="Times New Roman" w:hAnsi="Times New Roman" w:eastAsia="仿宋_GB2312" w:cs="Times New Roman"/>
          <w:kern w:val="2"/>
          <w:sz w:val="30"/>
          <w:szCs w:val="30"/>
        </w:rPr>
        <w:t>100.00%，</w:t>
      </w:r>
      <w:r>
        <w:rPr>
          <w:rFonts w:hint="default" w:ascii="Times New Roman" w:hAnsi="Times New Roman" w:eastAsia="仿宋_GB2312" w:cs="Times New Roman"/>
          <w:sz w:val="30"/>
          <w:szCs w:val="30"/>
        </w:rPr>
        <w:t>主要原因是</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highlight w:val="none"/>
          <w:lang w:val="zh-CN"/>
        </w:rPr>
        <w:t>天津市滨海新区塘沽传染病医院2021年度无政府性基金预算财政拨款收入、支出和结转结余</w:t>
      </w:r>
      <w:r>
        <w:rPr>
          <w:rFonts w:hint="default" w:ascii="Times New Roman" w:hAnsi="Times New Roman" w:eastAsia="仿宋_GB2312" w:cs="Times New Roman"/>
          <w:sz w:val="30"/>
          <w:szCs w:val="30"/>
          <w:highlight w:val="none"/>
        </w:rPr>
        <w:t>。</w:t>
      </w:r>
    </w:p>
    <w:p>
      <w:pPr>
        <w:spacing w:line="600" w:lineRule="exact"/>
        <w:ind w:firstLine="600"/>
        <w:rPr>
          <w:rFonts w:hint="default" w:ascii="Times New Roman" w:hAnsi="Times New Roman" w:cs="Times New Roman"/>
          <w:b/>
          <w:bCs/>
          <w:sz w:val="30"/>
          <w:szCs w:val="30"/>
        </w:rPr>
      </w:pPr>
      <w:r>
        <w:rPr>
          <w:rFonts w:hint="default" w:ascii="Times New Roman" w:hAnsi="Times New Roman" w:cs="Times New Roman"/>
          <w:b/>
          <w:bCs/>
          <w:sz w:val="30"/>
          <w:szCs w:val="30"/>
        </w:rPr>
        <w:t>九、国有资本经营预算财政拨款收支决算情况说明</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lang w:val="zh-CN"/>
        </w:rPr>
        <w:t>天津市滨海新区塘沽传染病医院2021年度无国有资本经营预算财政拨款收入、支出和结转结余</w:t>
      </w:r>
      <w:r>
        <w:rPr>
          <w:rFonts w:hint="default" w:ascii="Times New Roman" w:hAnsi="Times New Roman" w:eastAsia="仿宋_GB2312" w:cs="Times New Roman"/>
          <w:sz w:val="30"/>
          <w:szCs w:val="30"/>
        </w:rPr>
        <w:t>。</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十、机关运行经费支出情况说明</w:t>
      </w:r>
    </w:p>
    <w:p>
      <w:pPr>
        <w:spacing w:line="580" w:lineRule="exact"/>
        <w:ind w:firstLine="600"/>
        <w:rPr>
          <w:rFonts w:hint="default" w:ascii="Times New Roman" w:hAnsi="Times New Roman" w:eastAsia="楷体" w:cs="Times New Roman"/>
          <w:sz w:val="30"/>
          <w:szCs w:val="30"/>
        </w:rPr>
      </w:pPr>
      <w:r>
        <w:rPr>
          <w:rFonts w:hint="default" w:ascii="Times New Roman" w:hAnsi="Times New Roman" w:eastAsia="仿宋_GB2312" w:cs="Times New Roman"/>
          <w:sz w:val="30"/>
          <w:szCs w:val="30"/>
        </w:rPr>
        <w:t>天津市滨海新区塘沽传染病医院2021年度无机关运行经费</w:t>
      </w:r>
      <w:r>
        <w:rPr>
          <w:rFonts w:hint="default" w:ascii="Times New Roman" w:hAnsi="Times New Roman" w:eastAsia="楷体" w:cs="Times New Roman"/>
          <w:sz w:val="30"/>
          <w:szCs w:val="30"/>
        </w:rPr>
        <w:t>。</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十一、政府采购支出情况说明</w:t>
      </w:r>
    </w:p>
    <w:p>
      <w:pPr>
        <w:spacing w:line="580" w:lineRule="exact"/>
        <w:ind w:firstLine="600"/>
        <w:jc w:val="both"/>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天津市滨海新区塘沽传染病医院2021年</w:t>
      </w:r>
      <w:r>
        <w:rPr>
          <w:rFonts w:hint="default" w:ascii="Times New Roman" w:hAnsi="Times New Roman" w:eastAsia="仿宋_GB2312" w:cs="Times New Roman"/>
          <w:kern w:val="2"/>
          <w:sz w:val="30"/>
          <w:szCs w:val="30"/>
        </w:rPr>
        <w:t>政府</w:t>
      </w:r>
      <w:r>
        <w:rPr>
          <w:rFonts w:hint="default" w:ascii="Times New Roman" w:hAnsi="Times New Roman" w:eastAsia="仿宋_GB2312" w:cs="Times New Roman"/>
          <w:color w:val="000000"/>
          <w:sz w:val="30"/>
          <w:szCs w:val="30"/>
        </w:rPr>
        <w:t>采购支出总额</w:t>
      </w:r>
      <w:r>
        <w:rPr>
          <w:rFonts w:hint="default" w:ascii="Times New Roman" w:hAnsi="Times New Roman" w:eastAsia="仿宋_GB2312" w:cs="Times New Roman"/>
          <w:sz w:val="30"/>
          <w:szCs w:val="30"/>
        </w:rPr>
        <w:t>90,849.90</w:t>
      </w:r>
      <w:r>
        <w:rPr>
          <w:rFonts w:hint="default" w:ascii="Times New Roman" w:hAnsi="Times New Roman" w:eastAsia="仿宋_GB2312" w:cs="Times New Roman"/>
          <w:color w:val="000000"/>
          <w:sz w:val="30"/>
          <w:szCs w:val="30"/>
        </w:rPr>
        <w:t>元，其中：政府采购货物支出</w:t>
      </w:r>
      <w:r>
        <w:rPr>
          <w:rFonts w:hint="default" w:ascii="Times New Roman" w:hAnsi="Times New Roman" w:eastAsia="仿宋_GB2312" w:cs="Times New Roman"/>
          <w:sz w:val="30"/>
          <w:szCs w:val="30"/>
        </w:rPr>
        <w:t>90,849.90</w:t>
      </w:r>
      <w:r>
        <w:rPr>
          <w:rFonts w:hint="default" w:ascii="Times New Roman" w:hAnsi="Times New Roman" w:eastAsia="仿宋_GB2312" w:cs="Times New Roman"/>
          <w:color w:val="000000"/>
          <w:sz w:val="30"/>
          <w:szCs w:val="30"/>
        </w:rPr>
        <w:t>元、政府采购工程支出</w:t>
      </w:r>
      <w:r>
        <w:rPr>
          <w:rFonts w:hint="default" w:ascii="Times New Roman" w:hAnsi="Times New Roman" w:eastAsia="仿宋_GB2312" w:cs="Times New Roman"/>
          <w:sz w:val="30"/>
          <w:szCs w:val="30"/>
        </w:rPr>
        <w:t>0.00</w:t>
      </w:r>
      <w:r>
        <w:rPr>
          <w:rFonts w:hint="default" w:ascii="Times New Roman" w:hAnsi="Times New Roman" w:eastAsia="仿宋_GB2312" w:cs="Times New Roman"/>
          <w:color w:val="000000"/>
          <w:sz w:val="30"/>
          <w:szCs w:val="30"/>
        </w:rPr>
        <w:t>元、政府采购服务支出</w:t>
      </w:r>
      <w:r>
        <w:rPr>
          <w:rFonts w:hint="default" w:ascii="Times New Roman" w:hAnsi="Times New Roman" w:eastAsia="仿宋_GB2312" w:cs="Times New Roman"/>
          <w:sz w:val="30"/>
          <w:szCs w:val="30"/>
        </w:rPr>
        <w:t>0.00</w:t>
      </w:r>
      <w:r>
        <w:rPr>
          <w:rFonts w:hint="default" w:ascii="Times New Roman" w:hAnsi="Times New Roman" w:eastAsia="仿宋_GB2312" w:cs="Times New Roman"/>
          <w:color w:val="000000"/>
          <w:sz w:val="30"/>
          <w:szCs w:val="30"/>
        </w:rPr>
        <w:t>元。授予中小企业合同金额</w:t>
      </w:r>
      <w:r>
        <w:rPr>
          <w:rFonts w:hint="default" w:ascii="Times New Roman" w:hAnsi="Times New Roman" w:eastAsia="仿宋_GB2312" w:cs="Times New Roman"/>
          <w:sz w:val="30"/>
          <w:szCs w:val="30"/>
        </w:rPr>
        <w:t>90,849.90</w:t>
      </w:r>
      <w:r>
        <w:rPr>
          <w:rFonts w:hint="default" w:ascii="Times New Roman" w:hAnsi="Times New Roman" w:eastAsia="仿宋_GB2312" w:cs="Times New Roman"/>
          <w:color w:val="000000"/>
          <w:sz w:val="30"/>
          <w:szCs w:val="30"/>
        </w:rPr>
        <w:t>元，占政府采购支出总额的</w:t>
      </w:r>
      <w:r>
        <w:rPr>
          <w:rFonts w:hint="default" w:ascii="Times New Roman" w:hAnsi="Times New Roman" w:eastAsia="仿宋_GB2312" w:cs="Times New Roman"/>
          <w:sz w:val="30"/>
          <w:szCs w:val="30"/>
        </w:rPr>
        <w:t>100.00</w:t>
      </w:r>
      <w:r>
        <w:rPr>
          <w:rFonts w:hint="default" w:ascii="Times New Roman" w:hAnsi="Times New Roman" w:eastAsia="仿宋_GB2312" w:cs="Times New Roman"/>
          <w:color w:val="000000"/>
          <w:sz w:val="30"/>
          <w:szCs w:val="30"/>
        </w:rPr>
        <w:t>%，其中：授予小微企业合同金额</w:t>
      </w:r>
      <w:r>
        <w:rPr>
          <w:rFonts w:hint="default" w:ascii="Times New Roman" w:hAnsi="Times New Roman" w:eastAsia="仿宋_GB2312" w:cs="Times New Roman"/>
          <w:sz w:val="30"/>
          <w:szCs w:val="30"/>
        </w:rPr>
        <w:t>90,849.90</w:t>
      </w:r>
      <w:r>
        <w:rPr>
          <w:rFonts w:hint="default" w:ascii="Times New Roman" w:hAnsi="Times New Roman" w:eastAsia="仿宋_GB2312" w:cs="Times New Roman"/>
          <w:color w:val="000000"/>
          <w:sz w:val="30"/>
          <w:szCs w:val="30"/>
        </w:rPr>
        <w:t>元，占政府采购支出总额的</w:t>
      </w:r>
      <w:r>
        <w:rPr>
          <w:rFonts w:hint="default" w:ascii="Times New Roman" w:hAnsi="Times New Roman" w:eastAsia="仿宋_GB2312" w:cs="Times New Roman"/>
          <w:sz w:val="30"/>
          <w:szCs w:val="30"/>
        </w:rPr>
        <w:t>100.00</w:t>
      </w:r>
      <w:r>
        <w:rPr>
          <w:rFonts w:hint="default" w:ascii="Times New Roman" w:hAnsi="Times New Roman" w:eastAsia="仿宋_GB2312" w:cs="Times New Roman"/>
          <w:color w:val="000000"/>
          <w:sz w:val="30"/>
          <w:szCs w:val="30"/>
        </w:rPr>
        <w:t>%。</w:t>
      </w:r>
    </w:p>
    <w:p>
      <w:pPr>
        <w:spacing w:line="600" w:lineRule="exact"/>
        <w:ind w:firstLine="600"/>
        <w:rPr>
          <w:rFonts w:hint="default" w:ascii="Times New Roman" w:hAnsi="Times New Roman" w:cs="Times New Roman"/>
          <w:b/>
          <w:bCs/>
          <w:sz w:val="30"/>
          <w:szCs w:val="30"/>
        </w:rPr>
      </w:pPr>
      <w:r>
        <w:rPr>
          <w:rFonts w:hint="default" w:ascii="Times New Roman" w:hAnsi="Times New Roman" w:cs="Times New Roman"/>
          <w:b/>
          <w:bCs/>
          <w:sz w:val="30"/>
          <w:szCs w:val="30"/>
          <w:lang w:val="zh-CN"/>
        </w:rPr>
        <w:t>十二、</w:t>
      </w:r>
      <w:r>
        <w:rPr>
          <w:rFonts w:hint="default" w:ascii="Times New Roman" w:hAnsi="Times New Roman" w:cs="Times New Roman"/>
          <w:b/>
          <w:bCs/>
          <w:sz w:val="30"/>
          <w:szCs w:val="30"/>
        </w:rPr>
        <w:t>国有资产占有使用情况说明</w:t>
      </w:r>
    </w:p>
    <w:p>
      <w:pPr>
        <w:spacing w:line="600" w:lineRule="exact"/>
        <w:ind w:firstLine="720"/>
        <w:jc w:val="both"/>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截至2021年12月31日，天津市滨海新区塘沽传染病医院共有车辆</w:t>
      </w:r>
      <w:r>
        <w:rPr>
          <w:rFonts w:hint="default" w:ascii="Times New Roman" w:hAnsi="Times New Roman" w:eastAsia="仿宋_GB2312" w:cs="Times New Roman"/>
          <w:sz w:val="30"/>
          <w:szCs w:val="30"/>
        </w:rPr>
        <w:t>1</w:t>
      </w:r>
      <w:r>
        <w:rPr>
          <w:rFonts w:hint="default" w:ascii="Times New Roman" w:hAnsi="Times New Roman" w:eastAsia="仿宋_GB2312" w:cs="Times New Roman"/>
          <w:color w:val="000000"/>
          <w:sz w:val="30"/>
          <w:szCs w:val="30"/>
        </w:rPr>
        <w:t>辆，其中：</w:t>
      </w:r>
      <w:r>
        <w:rPr>
          <w:rFonts w:hint="default" w:ascii="Times New Roman" w:hAnsi="Times New Roman" w:eastAsia="仿宋_GB2312" w:cs="Times New Roman"/>
          <w:sz w:val="30"/>
          <w:szCs w:val="30"/>
        </w:rPr>
        <w:t>其他用车1辆，其他用车主要包括小片机体检车1辆</w:t>
      </w:r>
      <w:r>
        <w:rPr>
          <w:rFonts w:hint="default" w:ascii="Times New Roman" w:hAnsi="Times New Roman" w:eastAsia="仿宋_GB2312" w:cs="Times New Roman"/>
          <w:sz w:val="30"/>
          <w:szCs w:val="30"/>
          <w:lang w:val="zh-CN"/>
        </w:rPr>
        <w:t>。</w:t>
      </w:r>
      <w:r>
        <w:rPr>
          <w:rFonts w:hint="default" w:ascii="Times New Roman" w:hAnsi="Times New Roman" w:eastAsia="仿宋_GB2312" w:cs="Times New Roman"/>
          <w:color w:val="000000"/>
          <w:sz w:val="30"/>
          <w:szCs w:val="30"/>
        </w:rPr>
        <w:t>单价50万元以上的通用设备</w:t>
      </w:r>
      <w:r>
        <w:rPr>
          <w:rFonts w:hint="default" w:ascii="Times New Roman" w:hAnsi="Times New Roman" w:eastAsia="仿宋_GB2312" w:cs="Times New Roman"/>
          <w:sz w:val="30"/>
          <w:szCs w:val="30"/>
        </w:rPr>
        <w:t>0</w:t>
      </w:r>
      <w:r>
        <w:rPr>
          <w:rFonts w:hint="default" w:ascii="Times New Roman" w:hAnsi="Times New Roman" w:eastAsia="仿宋_GB2312" w:cs="Times New Roman"/>
          <w:color w:val="000000"/>
          <w:sz w:val="30"/>
          <w:szCs w:val="30"/>
        </w:rPr>
        <w:t>台（套），单价100万元以上的专用设备</w:t>
      </w:r>
      <w:r>
        <w:rPr>
          <w:rFonts w:hint="default" w:ascii="Times New Roman" w:hAnsi="Times New Roman" w:eastAsia="仿宋_GB2312" w:cs="Times New Roman"/>
          <w:sz w:val="30"/>
          <w:szCs w:val="30"/>
        </w:rPr>
        <w:t>5</w:t>
      </w:r>
      <w:r>
        <w:rPr>
          <w:rFonts w:hint="default" w:ascii="Times New Roman" w:hAnsi="Times New Roman" w:eastAsia="仿宋_GB2312" w:cs="Times New Roman"/>
          <w:color w:val="000000"/>
          <w:sz w:val="30"/>
          <w:szCs w:val="30"/>
        </w:rPr>
        <w:t>台（套）。</w:t>
      </w:r>
    </w:p>
    <w:p>
      <w:pPr>
        <w:spacing w:line="600" w:lineRule="exact"/>
        <w:ind w:firstLine="600"/>
        <w:rPr>
          <w:rFonts w:hint="default" w:ascii="Times New Roman" w:hAnsi="Times New Roman" w:cs="Times New Roman"/>
          <w:b/>
          <w:bCs/>
          <w:sz w:val="30"/>
          <w:szCs w:val="30"/>
        </w:rPr>
      </w:pPr>
      <w:r>
        <w:rPr>
          <w:rFonts w:hint="default" w:ascii="Times New Roman" w:hAnsi="Times New Roman" w:cs="Times New Roman"/>
          <w:b/>
          <w:bCs/>
          <w:sz w:val="30"/>
          <w:szCs w:val="30"/>
          <w:lang w:val="zh-CN"/>
        </w:rPr>
        <w:t>十三、</w:t>
      </w:r>
      <w:r>
        <w:rPr>
          <w:rFonts w:hint="default" w:ascii="Times New Roman" w:hAnsi="Times New Roman" w:cs="Times New Roman"/>
          <w:b/>
          <w:bCs/>
          <w:sz w:val="30"/>
          <w:szCs w:val="30"/>
        </w:rPr>
        <w:t>预算绩效情况说明</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天津市滨海新区塘沽传染病医院</w:t>
      </w:r>
      <w:r>
        <w:rPr>
          <w:rFonts w:hint="default" w:ascii="Times New Roman" w:hAnsi="Times New Roman" w:eastAsia="仿宋_GB2312" w:cs="Times New Roman"/>
          <w:sz w:val="30"/>
          <w:szCs w:val="24"/>
          <w:lang w:val="zh-CN"/>
        </w:rPr>
        <w:t>202</w:t>
      </w:r>
      <w:r>
        <w:rPr>
          <w:rFonts w:hint="default" w:ascii="Times New Roman" w:hAnsi="Times New Roman" w:eastAsia="仿宋_GB2312" w:cs="Times New Roman"/>
          <w:sz w:val="30"/>
          <w:szCs w:val="24"/>
          <w:lang w:val="en-US" w:eastAsia="zh-CN"/>
        </w:rPr>
        <w:t>1</w:t>
      </w:r>
      <w:r>
        <w:rPr>
          <w:rFonts w:hint="default" w:ascii="Times New Roman" w:hAnsi="Times New Roman" w:eastAsia="仿宋_GB2312" w:cs="Times New Roman"/>
          <w:sz w:val="30"/>
          <w:szCs w:val="24"/>
          <w:lang w:val="zh-CN"/>
        </w:rPr>
        <w:t>年度</w:t>
      </w:r>
      <w:r>
        <w:rPr>
          <w:rFonts w:hint="eastAsia" w:ascii="Times New Roman" w:hAnsi="Times New Roman" w:eastAsia="仿宋_GB2312"/>
          <w:sz w:val="30"/>
          <w:szCs w:val="24"/>
        </w:rPr>
        <w:t>无需公开项目支出绩效自评结果。</w:t>
      </w:r>
      <w:r>
        <w:rPr>
          <w:rFonts w:hint="eastAsia" w:ascii="Times New Roman" w:hAnsi="Times New Roman" w:eastAsia="仿宋_GB2312"/>
          <w:sz w:val="30"/>
          <w:szCs w:val="24"/>
          <w:lang w:val="en-US" w:eastAsia="zh-CN"/>
        </w:rPr>
        <w:t>本部门</w:t>
      </w:r>
      <w:r>
        <w:rPr>
          <w:rFonts w:hint="eastAsia" w:ascii="Times New Roman" w:hAnsi="Times New Roman" w:eastAsia="仿宋_GB2312"/>
          <w:sz w:val="30"/>
          <w:szCs w:val="24"/>
        </w:rPr>
        <w:t>未自行组织开展绩效评价。</w:t>
      </w:r>
    </w:p>
    <w:p>
      <w:pPr>
        <w:spacing w:line="600" w:lineRule="exact"/>
        <w:ind w:firstLine="600"/>
        <w:rPr>
          <w:rFonts w:hint="default" w:ascii="Times New Roman" w:hAnsi="Times New Roman" w:cs="Times New Roman"/>
          <w:b/>
          <w:bCs/>
          <w:sz w:val="30"/>
          <w:szCs w:val="30"/>
        </w:rPr>
      </w:pPr>
      <w:bookmarkStart w:id="0" w:name="_GoBack"/>
      <w:bookmarkEnd w:id="0"/>
      <w:r>
        <w:rPr>
          <w:rFonts w:hint="default" w:ascii="Times New Roman" w:hAnsi="Times New Roman" w:cs="Times New Roman"/>
          <w:b/>
          <w:bCs/>
          <w:sz w:val="30"/>
          <w:szCs w:val="30"/>
          <w:lang w:val="zh-CN"/>
        </w:rPr>
        <w:t>十四、</w:t>
      </w:r>
      <w:r>
        <w:rPr>
          <w:rFonts w:hint="default" w:ascii="Times New Roman" w:hAnsi="Times New Roman" w:cs="Times New Roman"/>
          <w:b/>
          <w:bCs/>
          <w:sz w:val="30"/>
          <w:szCs w:val="30"/>
        </w:rPr>
        <w:t>教育、医疗卫生、社会保障和就业、住房保障、涉农补贴等民生支出情况说明</w:t>
      </w:r>
    </w:p>
    <w:p>
      <w:pPr>
        <w:spacing w:line="600" w:lineRule="exact"/>
        <w:ind w:firstLine="600"/>
        <w:rPr>
          <w:rFonts w:hint="default" w:ascii="Times New Roman" w:hAnsi="Times New Roman" w:eastAsia="楷体" w:cs="Times New Roman"/>
          <w:sz w:val="30"/>
          <w:szCs w:val="30"/>
        </w:rPr>
      </w:pPr>
      <w:r>
        <w:rPr>
          <w:rFonts w:hint="default" w:ascii="Times New Roman" w:hAnsi="Times New Roman" w:eastAsia="仿宋_GB2312" w:cs="Times New Roman"/>
          <w:sz w:val="30"/>
          <w:szCs w:val="30"/>
        </w:rPr>
        <w:t>天津市滨海新区塘沽传染病医院</w:t>
      </w:r>
      <w:r>
        <w:rPr>
          <w:rFonts w:hint="default" w:ascii="Times New Roman" w:hAnsi="Times New Roman" w:eastAsia="楷体" w:cs="Times New Roman"/>
          <w:sz w:val="30"/>
          <w:szCs w:val="30"/>
        </w:rPr>
        <w:t>2021</w:t>
      </w:r>
      <w:r>
        <w:rPr>
          <w:rFonts w:hint="default" w:ascii="Times New Roman" w:hAnsi="Times New Roman" w:eastAsia="仿宋_GB2312" w:cs="Times New Roman"/>
          <w:sz w:val="30"/>
          <w:szCs w:val="30"/>
        </w:rPr>
        <w:t>年度无教育、医疗卫生、社会保障和就业、住房保障、涉农补贴等民生支出情况</w:t>
      </w:r>
      <w:r>
        <w:rPr>
          <w:rFonts w:hint="default" w:ascii="Times New Roman" w:hAnsi="Times New Roman" w:eastAsia="楷体" w:cs="Times New Roman"/>
          <w:sz w:val="30"/>
          <w:szCs w:val="30"/>
        </w:rPr>
        <w:t>。</w:t>
      </w:r>
      <w:r>
        <w:rPr>
          <w:rFonts w:hint="default" w:ascii="Times New Roman" w:hAnsi="Times New Roman" w:eastAsia="仿宋_GB2312" w:cs="Times New Roman"/>
          <w:b/>
          <w:bCs/>
          <w:color w:val="000000"/>
          <w:sz w:val="30"/>
          <w:szCs w:val="30"/>
        </w:rPr>
        <w:br w:type="page"/>
      </w:r>
    </w:p>
    <w:p>
      <w:pPr>
        <w:pStyle w:val="2"/>
        <w:keepNext/>
        <w:keepLines/>
        <w:spacing w:line="600" w:lineRule="exact"/>
        <w:jc w:val="center"/>
        <w:rPr>
          <w:rFonts w:hint="default" w:ascii="Times New Roman" w:hAnsi="Times New Roman" w:eastAsia="方正小标宋简体" w:cs="Times New Roman"/>
          <w:b/>
          <w:bCs/>
          <w:kern w:val="44"/>
          <w:sz w:val="44"/>
          <w:szCs w:val="44"/>
        </w:rPr>
      </w:pPr>
      <w:r>
        <w:rPr>
          <w:rFonts w:hint="default" w:ascii="Times New Roman" w:hAnsi="Times New Roman" w:eastAsia="方正小标宋简体" w:cs="Times New Roman"/>
          <w:b/>
          <w:bCs/>
          <w:kern w:val="44"/>
          <w:sz w:val="44"/>
          <w:szCs w:val="44"/>
        </w:rPr>
        <w:t>第四部分  名词解释</w:t>
      </w:r>
    </w:p>
    <w:p>
      <w:pPr>
        <w:spacing w:line="600" w:lineRule="exact"/>
        <w:ind w:firstLine="600"/>
        <w:rPr>
          <w:rFonts w:hint="default" w:ascii="Times New Roman" w:hAnsi="Times New Roman" w:eastAsia="仿宋_GB2312" w:cs="Times New Roman"/>
          <w:sz w:val="30"/>
          <w:szCs w:val="30"/>
        </w:rPr>
      </w:pP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宋体" w:cs="Times New Roman"/>
        </w:rPr>
        <w:t>.</w:t>
      </w:r>
      <w:r>
        <w:rPr>
          <w:rFonts w:hint="default" w:ascii="Times New Roman" w:hAnsi="Times New Roman" w:eastAsia="仿宋_GB2312" w:cs="Times New Roman"/>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ascii="Times New Roman" w:hAnsi="Times New Roman" w:eastAsia="仿宋_GB2312" w:cs="Times New Roman"/>
          <w:lang w:val="zh-CN"/>
        </w:rPr>
      </w:pPr>
    </w:p>
    <w:p>
      <w:pPr>
        <w:rPr>
          <w:rFonts w:hint="default" w:ascii="Times New Roman" w:hAnsi="Times New Roman" w:cs="Times New Roman"/>
          <w:kern w:val="2"/>
          <w:sz w:val="32"/>
          <w:szCs w:val="32"/>
          <w:lang w:val="zh-CN"/>
        </w:rPr>
      </w:pPr>
    </w:p>
    <w:p>
      <w:pPr>
        <w:rPr>
          <w:rFonts w:hint="default" w:ascii="Times New Roman" w:hAnsi="Times New Roman" w:cs="Times New Roman"/>
          <w:kern w:val="2"/>
          <w:sz w:val="32"/>
          <w:szCs w:val="32"/>
          <w:lang w:val="zh-CN"/>
        </w:rPr>
      </w:pPr>
    </w:p>
    <w:sectPr>
      <w:footerReference r:id="rId3"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mbria">
    <w:altName w:val="DejaVu Math TeX Gyre"/>
    <w:panose1 w:val="02040503050406030204"/>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00000001" w:usb1="080E0000" w:usb2="00000000" w:usb3="00000000" w:csb0="00040000" w:csb1="00000000"/>
    <w:embedRegular r:id="rId1" w:fontKey="{1D35B2C8-A049-4DC0-BE65-ECCD2B75BD91}"/>
  </w:font>
  <w:font w:name="仿宋_GB2312">
    <w:panose1 w:val="02010609030101010101"/>
    <w:charset w:val="86"/>
    <w:family w:val="modern"/>
    <w:pitch w:val="default"/>
    <w:sig w:usb0="00000001" w:usb1="080E0000" w:usb2="00000000" w:usb3="00000000" w:csb0="00040000" w:csb1="00000000"/>
    <w:embedRegular r:id="rId2" w:fontKey="{3D6F96CE-54B6-44B7-A252-C6375BCF2FDA}"/>
  </w:font>
  <w:font w:name="楷体">
    <w:altName w:val="楷体_GB2312"/>
    <w:panose1 w:val="02010609060101010101"/>
    <w:charset w:val="86"/>
    <w:family w:val="modern"/>
    <w:pitch w:val="default"/>
    <w:sig w:usb0="00000000" w:usb1="00000000" w:usb2="00000016" w:usb3="00000000" w:csb0="00040001" w:csb1="00000000"/>
    <w:embedRegular r:id="rId3" w:fontKey="{4757C7DA-419C-44E4-8BAA-669DD94C2D4D}"/>
  </w:font>
  <w:font w:name="楷体_GB2312">
    <w:panose1 w:val="02010609030101010101"/>
    <w:charset w:val="86"/>
    <w:family w:val="auto"/>
    <w:pitch w:val="default"/>
    <w:sig w:usb0="00000001" w:usb1="080E0000" w:usb2="00000000" w:usb3="00000000" w:csb0="00040000" w:csb1="00000000"/>
    <w:embedRegular r:id="rId4" w:fontKey="{C6E841F2-9766-47F6-A8F0-D51FD0501D1D}"/>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MzRhZWYzZTFkMGNjOGJlNjBlNzI3ZjUzODhjYmEifQ=="/>
  </w:docVars>
  <w:rsids>
    <w:rsidRoot w:val="006C437E"/>
    <w:rsid w:val="00043659"/>
    <w:rsid w:val="00045413"/>
    <w:rsid w:val="001006E4"/>
    <w:rsid w:val="002B560F"/>
    <w:rsid w:val="002B5B42"/>
    <w:rsid w:val="00346081"/>
    <w:rsid w:val="003A631F"/>
    <w:rsid w:val="004D4753"/>
    <w:rsid w:val="0057005F"/>
    <w:rsid w:val="005705FA"/>
    <w:rsid w:val="005740B8"/>
    <w:rsid w:val="006705E4"/>
    <w:rsid w:val="00683ECF"/>
    <w:rsid w:val="006C437E"/>
    <w:rsid w:val="007B09EF"/>
    <w:rsid w:val="00860C45"/>
    <w:rsid w:val="008D7302"/>
    <w:rsid w:val="00A26CFD"/>
    <w:rsid w:val="00A55CE6"/>
    <w:rsid w:val="00A81735"/>
    <w:rsid w:val="00AA6D07"/>
    <w:rsid w:val="00D643AC"/>
    <w:rsid w:val="00D86462"/>
    <w:rsid w:val="00DC7F8B"/>
    <w:rsid w:val="00DE3520"/>
    <w:rsid w:val="00E206DA"/>
    <w:rsid w:val="53955304"/>
    <w:rsid w:val="5F2D5046"/>
    <w:rsid w:val="61CE20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locked/>
    <w:uiPriority w:val="9"/>
    <w:rPr>
      <w:rFonts w:ascii="黑体" w:eastAsia="黑体" w:cs="Times New Roman"/>
      <w:b/>
      <w:bCs/>
      <w:kern w:val="44"/>
      <w:sz w:val="44"/>
      <w:szCs w:val="44"/>
    </w:rPr>
  </w:style>
  <w:style w:type="character" w:customStyle="1" w:styleId="9">
    <w:name w:val="标题 2 Char"/>
    <w:basedOn w:val="7"/>
    <w:link w:val="3"/>
    <w:semiHidden/>
    <w:qFormat/>
    <w:locked/>
    <w:uiPriority w:val="9"/>
    <w:rPr>
      <w:rFonts w:ascii="Cambria" w:hAnsi="Cambria" w:eastAsia="宋体" w:cs="Times New Roman"/>
      <w:b/>
      <w:bCs/>
      <w:kern w:val="0"/>
      <w:sz w:val="32"/>
      <w:szCs w:val="32"/>
    </w:rPr>
  </w:style>
  <w:style w:type="character" w:customStyle="1" w:styleId="10">
    <w:name w:val="页眉 Char"/>
    <w:basedOn w:val="7"/>
    <w:link w:val="5"/>
    <w:semiHidden/>
    <w:qFormat/>
    <w:locked/>
    <w:uiPriority w:val="99"/>
    <w:rPr>
      <w:rFonts w:ascii="黑体" w:eastAsia="黑体" w:cs="Times New Roman"/>
      <w:kern w:val="0"/>
      <w:sz w:val="18"/>
      <w:szCs w:val="18"/>
    </w:rPr>
  </w:style>
  <w:style w:type="character" w:customStyle="1" w:styleId="11">
    <w:name w:val="页脚 Char"/>
    <w:basedOn w:val="7"/>
    <w:link w:val="4"/>
    <w:semiHidden/>
    <w:qFormat/>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4139</Words>
  <Characters>4822</Characters>
  <Lines>36</Lines>
  <Paragraphs>10</Paragraphs>
  <TotalTime>0</TotalTime>
  <ScaleCrop>false</ScaleCrop>
  <LinksUpToDate>false</LinksUpToDate>
  <CharactersWithSpaces>4882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2022-11-14T00:55:00Z</dcterms:created>
  <dc:creator>lenovo</dc:creator>
  <cp:lastModifiedBy>楊政</cp:lastModifiedBy>
  <dcterms:modified xsi:type="dcterms:W3CDTF">2022-11-21T07:24:29Z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A73C119673C24F7FAB122E7E01B45901</vt:lpwstr>
  </property>
</Properties>
</file>